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Audyt</w:t>
      </w:r>
      <w:r>
        <w:t xml:space="preserve"> </w:t>
      </w:r>
      <w:r>
        <w:t xml:space="preserve">widoczności</w:t>
      </w:r>
      <w:r>
        <w:t xml:space="preserve"> </w:t>
      </w:r>
      <w:r>
        <w:t xml:space="preserve">i</w:t>
      </w:r>
      <w:r>
        <w:t xml:space="preserve"> </w:t>
      </w:r>
      <w:r>
        <w:t xml:space="preserve">sprzedaży</w:t>
      </w:r>
      <w:r>
        <w:t xml:space="preserve"> </w:t>
      </w:r>
      <w:r>
        <w:t xml:space="preserve">—</w:t>
      </w:r>
      <w:r>
        <w:t xml:space="preserve"> </w:t>
      </w:r>
      <w:r>
        <w:t xml:space="preserve">Samarité</w:t>
      </w:r>
      <w:r>
        <w:t xml:space="preserve"> </w:t>
      </w:r>
      <w:r>
        <w:t xml:space="preserve">(samarite.eu)</w:t>
      </w:r>
    </w:p>
    <w:p>
      <w:pPr>
        <w:pStyle w:val="Subtitle"/>
      </w:pPr>
      <w:r>
        <w:t xml:space="preserve">Wersja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po</w:t>
      </w:r>
      <w:r>
        <w:t xml:space="preserve"> </w:t>
      </w:r>
      <w:r>
        <w:t xml:space="preserve">weryfikacji</w:t>
      </w:r>
      <w:r>
        <w:t xml:space="preserve"> </w:t>
      </w:r>
      <w:r>
        <w:t xml:space="preserve">drugiej</w:t>
      </w:r>
      <w:r>
        <w:t xml:space="preserve"> </w:t>
      </w:r>
      <w:r>
        <w:t xml:space="preserve">opinii</w:t>
      </w:r>
    </w:p>
    <w:p>
      <w:pPr>
        <w:pStyle w:val="Date"/>
      </w:pPr>
      <w:r>
        <w:t xml:space="preserve">23.10.2026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tre��ci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odsumowanie"/>
    <w:p>
      <w:pPr>
        <w:pStyle w:val="Heading1"/>
      </w:pPr>
      <w:r>
        <w:t xml:space="preserve">Podsumowanie</w:t>
      </w:r>
    </w:p>
    <w:p>
      <w:pPr>
        <w:pStyle w:val="FirstParagraph"/>
      </w:pPr>
      <w:r>
        <w:t xml:space="preserve">Cel marki:</w:t>
      </w:r>
      <w:r>
        <w:t xml:space="preserve"> </w:t>
      </w:r>
      <w:r>
        <w:rPr>
          <w:bCs/>
          <w:b/>
        </w:rPr>
        <w:t xml:space="preserve">jak najwięcej sprzedaży przez własny sklep samarite.eu</w:t>
      </w:r>
      <w:r>
        <w:t xml:space="preserve">, lepsza widoczność w Google i większa szansa na polecenia przez AI (ChatGPT, Google AI, Perplexity).</w:t>
      </w:r>
    </w:p>
    <w:p>
      <w:pPr>
        <w:pStyle w:val="BodyText"/>
      </w:pPr>
      <w:r>
        <w:rPr>
          <w:bCs/>
          <w:b/>
        </w:rPr>
        <w:t xml:space="preserve">Najpoważniejsze znalezione problemy</w:t>
      </w:r>
      <w:r>
        <w:t xml:space="preserve"> </w:t>
      </w:r>
      <w:r>
        <w:t xml:space="preserve">(to nie jest ranking strat finansowych — ten wymaga danych sprzedażowych, patrz pkt 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Ciężkie filmy na stronie głównej</w:t>
      </w:r>
      <w:r>
        <w:t xml:space="preserve"> </w:t>
      </w:r>
      <w:r>
        <w:t xml:space="preserve">— w teście mobilnym pobrało się 12 plików wideo (19,4 MB, ok. 90% wagi strony), w tym wersje desktopowe; strona: wynik 35/100, główna treść po 14,1 s (test laboratoryjny).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„Najniższa cena z 30 dni: 0,00” przy zestawach</w:t>
      </w:r>
      <w:r>
        <w:t xml:space="preserve"> </w:t>
      </w:r>
      <w:r>
        <w:t xml:space="preserve">— wymaga pilnej korekty.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Dane produktów dla Google</w:t>
      </w:r>
      <w:r>
        <w:t xml:space="preserve"> </w:t>
      </w:r>
      <w:r>
        <w:t xml:space="preserve">— opis w danych strukturalnych to lista fraz, brak EAN w kodzie strony, jeden adres oferty dla różnych wariantów.</w:t>
      </w:r>
    </w:p>
    <w:p>
      <w:pPr>
        <w:pStyle w:val="FirstParagraph"/>
      </w:pPr>
      <w:r>
        <w:rPr>
          <w:bCs/>
          <w:b/>
        </w:rPr>
        <w:t xml:space="preserve">Największa luka:</w:t>
      </w:r>
      <w:r>
        <w:t xml:space="preserve"> </w:t>
      </w:r>
      <w:r>
        <w:t xml:space="preserve">nie zbadano jeszcze ścieżki zakupu (koszyk, płatność, porzucenia, powtórne zakupy, marża). Pod cel „sprzedaż na samarite.eu” to pierwszy krok — pkt 1.</w:t>
      </w:r>
    </w:p>
    <w:bookmarkEnd w:id="20"/>
    <w:bookmarkStart w:id="21" w:name="metoda-i-ograniczenia"/>
    <w:p>
      <w:pPr>
        <w:pStyle w:val="Heading1"/>
      </w:pPr>
      <w:r>
        <w:t xml:space="preserve">Metoda i ograniczenia</w:t>
      </w:r>
    </w:p>
    <w:p>
      <w:pPr>
        <w:numPr>
          <w:ilvl w:val="0"/>
          <w:numId w:val="1002"/>
        </w:numPr>
        <w:pStyle w:val="Compact"/>
      </w:pPr>
      <w:r>
        <w:t xml:space="preserve">Sprawdzone 23.10.2026 bezpośrednio na samarite.eu: kod stron (strona główna, Divine Cream w obu wariantach, Divine Elixir, Eksperci, artykuł blogowy), robots.txt, sitemap.xml, llms.txt, dane strukturalne schema.org.</w:t>
      </w:r>
    </w:p>
    <w:p>
      <w:pPr>
        <w:numPr>
          <w:ilvl w:val="0"/>
          <w:numId w:val="1002"/>
        </w:numPr>
        <w:pStyle w:val="Compact"/>
      </w:pPr>
      <w:r>
        <w:t xml:space="preserve">Szybkość: Lighthouse 12, emulacja telefonu (test laboratoryjny).</w:t>
      </w:r>
      <w:r>
        <w:t xml:space="preserve"> </w:t>
      </w:r>
      <w:r>
        <w:rPr>
          <w:bCs/>
          <w:b/>
        </w:rPr>
        <w:t xml:space="preserve">To nie są dane prawdziwych użytkowników</w:t>
      </w:r>
      <w:r>
        <w:t xml:space="preserve"> </w:t>
      </w:r>
      <w:r>
        <w:t xml:space="preserve">— te są w Google Search Console → Podstawowe wskaźniki internetowe.</w:t>
      </w:r>
    </w:p>
    <w:p>
      <w:pPr>
        <w:numPr>
          <w:ilvl w:val="0"/>
          <w:numId w:val="1002"/>
        </w:numPr>
        <w:pStyle w:val="Compact"/>
      </w:pPr>
      <w:r>
        <w:t xml:space="preserve">Rynek i konkurencja: wyszukiwanie w sieci (rankingi Elle, Superpharm, Wizaż, natu.care, sklepy).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Nie sprawdzono:</w:t>
      </w:r>
      <w:r>
        <w:t xml:space="preserve"> </w:t>
      </w:r>
      <w:r>
        <w:t xml:space="preserve">Search Console, Merchant Center, Google Ads, GA4, systemu sklepu, ścieżki zakupu do płatności, marży, logów serwera, wolumenów fraz, odpowiedzi AI na pytania klientek.</w:t>
      </w:r>
    </w:p>
    <w:p>
      <w:pPr>
        <w:numPr>
          <w:ilvl w:val="0"/>
          <w:numId w:val="1002"/>
        </w:numPr>
        <w:pStyle w:val="Compact"/>
      </w:pPr>
      <w:r>
        <w:t xml:space="preserve">Oznaczenie</w:t>
      </w:r>
      <w:r>
        <w:t xml:space="preserve"> </w:t>
      </w:r>
      <w:r>
        <w:rPr>
          <w:bCs/>
          <w:b/>
        </w:rPr>
        <w:t xml:space="preserve">WYMAGA SPRAWDZENIA</w:t>
      </w:r>
      <w:r>
        <w:t xml:space="preserve"> </w:t>
      </w:r>
      <w:r>
        <w:t xml:space="preserve">= hipoteza do potwierdzenia danymi.</w:t>
      </w:r>
    </w:p>
    <w:bookmarkEnd w:id="21"/>
    <w:bookmarkStart w:id="22" w:name="fakty-o-marce-sprawdzone"/>
    <w:p>
      <w:pPr>
        <w:pStyle w:val="Heading1"/>
      </w:pPr>
      <w:r>
        <w:t xml:space="preserve">Fakty o marce (sprawdzone)</w:t>
      </w:r>
    </w:p>
    <w:p>
      <w:pPr>
        <w:numPr>
          <w:ilvl w:val="0"/>
          <w:numId w:val="1003"/>
        </w:numPr>
        <w:pStyle w:val="Compact"/>
      </w:pPr>
      <w:r>
        <w:t xml:space="preserve">Polska marka, firma:</w:t>
      </w:r>
      <w:r>
        <w:t xml:space="preserve"> </w:t>
      </w:r>
      <w:r>
        <w:rPr>
          <w:bCs/>
          <w:b/>
        </w:rPr>
        <w:t xml:space="preserve">Zeme Pharm Anna Mrowińska</w:t>
      </w:r>
      <w:r>
        <w:t xml:space="preserve">, Warszawa. Butik: Westfield Mokotów (poziom 0).</w:t>
      </w:r>
    </w:p>
    <w:p>
      <w:pPr>
        <w:numPr>
          <w:ilvl w:val="0"/>
          <w:numId w:val="1003"/>
        </w:numPr>
        <w:pStyle w:val="Compact"/>
      </w:pPr>
      <w:r>
        <w:t xml:space="preserve">Pozycjonowanie: „Słowiańska pielęgnacja w cyklu 8 kroków”, 33 zioła, multifunkcyjność („mniej kosmetyków, więcej możliwości”).</w:t>
      </w:r>
    </w:p>
    <w:p>
      <w:pPr>
        <w:numPr>
          <w:ilvl w:val="0"/>
          <w:numId w:val="1003"/>
        </w:numPr>
        <w:pStyle w:val="Compact"/>
      </w:pPr>
      <w:r>
        <w:t xml:space="preserve">Oceny</w:t>
      </w:r>
      <w:r>
        <w:t xml:space="preserve"> </w:t>
      </w:r>
      <w:r>
        <w:rPr>
          <w:bCs/>
          <w:b/>
        </w:rPr>
        <w:t xml:space="preserve">wyświetlane</w:t>
      </w:r>
      <w:r>
        <w:t xml:space="preserve"> </w:t>
      </w:r>
      <w:r>
        <w:t xml:space="preserve">w sklepie (autentyczności i sposobu zbierania nie weryfikowano): Grand Divine Cream 4,9/5 (2096 opinii), Supreme Balm 5,0 (1081), Supreme Cleanser 5,0 (647), Divine Elixir 5,0 (1292).</w:t>
      </w:r>
    </w:p>
    <w:p>
      <w:pPr>
        <w:numPr>
          <w:ilvl w:val="0"/>
          <w:numId w:val="1003"/>
        </w:numPr>
        <w:pStyle w:val="Compact"/>
      </w:pPr>
      <w:r>
        <w:t xml:space="preserve">Zewnętrznie: Wizaż KWC — Divine Cream 4,5/5 (ok. 407 opinii); Glamour: „krem sprzedaje się co 7 minut”. Część testów Wizaż była sponsorowana, większość tekstów ma 1,5–2,5 roku.</w:t>
      </w:r>
    </w:p>
    <w:p>
      <w:pPr>
        <w:numPr>
          <w:ilvl w:val="0"/>
          <w:numId w:val="1003"/>
        </w:numPr>
        <w:pStyle w:val="Compact"/>
      </w:pPr>
      <w:r>
        <w:t xml:space="preserve">W wynikach na nazwę produktu pojawia się negatywna recenzja blogowa „Divine Cream – nieudana inwestycja” (mojalepszawersja.pl, 2020).</w:t>
      </w:r>
    </w:p>
    <w:p>
      <w:pPr>
        <w:numPr>
          <w:ilvl w:val="0"/>
          <w:numId w:val="1003"/>
        </w:numPr>
        <w:pStyle w:val="Compact"/>
      </w:pPr>
      <w:r>
        <w:t xml:space="preserve">Eksperci na stronie: mgr chemii Barbara Zapisek (główny technolog), dr n. med. Marcin Wrona (ginekolog, endokrynolog).</w:t>
      </w:r>
    </w:p>
    <w:p>
      <w:pPr>
        <w:numPr>
          <w:ilvl w:val="0"/>
          <w:numId w:val="1003"/>
        </w:numPr>
        <w:pStyle w:val="Compact"/>
      </w:pPr>
      <w:r>
        <w:t xml:space="preserve">Google Ads: marka prowadzi kampanię na własną nazwę (</w:t>
      </w:r>
      <w:r>
        <w:rPr>
          <w:rStyle w:val="VerbatimChar"/>
        </w:rPr>
        <w:t xml:space="preserve">perfo_sea_brand_exact</w:t>
      </w:r>
      <w:r>
        <w:t xml:space="preserve"> </w:t>
      </w:r>
      <w:r>
        <w:t xml:space="preserve">w linku z reklamy).</w:t>
      </w:r>
    </w:p>
    <w:p>
      <w:pPr>
        <w:numPr>
          <w:ilvl w:val="0"/>
          <w:numId w:val="1003"/>
        </w:numPr>
        <w:pStyle w:val="Compact"/>
      </w:pPr>
      <w:r>
        <w:t xml:space="preserve">Strona Divine Cream: domyślnie wybrany wariant</w:t>
      </w:r>
      <w:r>
        <w:t xml:space="preserve"> </w:t>
      </w:r>
      <w:r>
        <w:rPr>
          <w:bCs/>
          <w:b/>
        </w:rPr>
        <w:t xml:space="preserve">Grand 2×45 ml — 269,99 zł</w:t>
      </w:r>
      <w:r>
        <w:t xml:space="preserve">; wariant</w:t>
      </w:r>
      <w:r>
        <w:t xml:space="preserve"> </w:t>
      </w:r>
      <w:r>
        <w:rPr>
          <w:bCs/>
          <w:b/>
        </w:rPr>
        <w:t xml:space="preserve">45 ml (</w:t>
      </w:r>
      <w:r>
        <w:rPr>
          <w:rStyle w:val="VerbatimChar"/>
          <w:bCs/>
          <w:b/>
        </w:rPr>
        <w:t xml:space="preserve">?v=793</w:t>
      </w:r>
      <w:r>
        <w:rPr>
          <w:bCs/>
          <w:b/>
        </w:rPr>
        <w:t xml:space="preserve">) — 149,99 zł</w:t>
      </w:r>
      <w:r>
        <w:t xml:space="preserve">. Dane strukturalne zmieniają cenę zgodnie z wybranym wariantem.</w:t>
      </w:r>
    </w:p>
    <w:p>
      <w:pPr>
        <w:numPr>
          <w:ilvl w:val="0"/>
          <w:numId w:val="1003"/>
        </w:numPr>
        <w:pStyle w:val="Compact"/>
      </w:pPr>
      <w:r>
        <w:t xml:space="preserve">Promocje widoczne jednocześnie: 15% za zapis do newslettera, „2+1 / kod TRIO” (najtańszy za 1 gr), zestawy z ceną niższą od sumy produktów.</w:t>
      </w:r>
    </w:p>
    <w:bookmarkEnd w:id="22"/>
    <w:bookmarkStart w:id="46" w:name="problemy-i-działania"/>
    <w:p>
      <w:pPr>
        <w:pStyle w:val="Heading1"/>
      </w:pPr>
      <w:r>
        <w:t xml:space="preserve">Problemy i działania</w:t>
      </w:r>
    </w:p>
    <w:p>
      <w:pPr>
        <w:pStyle w:val="FirstParagraph"/>
      </w:pPr>
      <w:r>
        <w:t xml:space="preserve">Legenda: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= 1. tydzień,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tydzień 2–4,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= 2. miesiąc.</w:t>
      </w:r>
    </w:p>
    <w:bookmarkStart w:id="23" w:name="Xaf45b7fb9b705213bef1fdb68d8d8b022a28f91"/>
    <w:p>
      <w:pPr>
        <w:pStyle w:val="Heading2"/>
      </w:pPr>
      <w:r>
        <w:t xml:space="preserve">1. Ścieżka zakupu i dane sprzedażowe — P1 (najpierw)</w:t>
      </w:r>
    </w:p>
    <w:p>
      <w:pPr>
        <w:pStyle w:val="FirstParagraph"/>
      </w:pPr>
      <w:r>
        <w:t xml:space="preserve">To diagnoza, która pokaże, gdzie sklep realnie traci pieniądze. Bez niej pozostałe priorytety są oparte na obserwacjach strony, nie na wynikach.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 dokładnie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Przejść zakup na 2–3 telefonach (iOS/Android): wybór wariantu → koszyk → kod rabatowy → dostawa → płatność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Błąd na tym etapie traci klientki już gotowe do zakupu.</w:t>
            </w:r>
            <w:r>
              <w:t xml:space="preserve"> </w:t>
            </w:r>
            <w:r>
              <w:rPr>
                <w:bCs/>
                <w:b/>
              </w:rPr>
              <w:t xml:space="preserve">Obecność błędów: WYMAGA SPRAWDZENIA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Porównać zamówienia i przychód z systemu sklepu z 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sklepu, 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Czy pomiar jest wiarygodny, zanim na nim oprzemy decyzje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Lejek zakupu wg urządzenia i źródła ruchu: wejście → karta → koszyk → checkout → zakup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Pokazuje, na którym etapie i na jakim urządzeniu odpadają klientki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Sprawdzić nieudane płatności i porzucone koszyki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sklepu / operator płatności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Bezpośrednio utracona sprzedaż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Najważniejsze strony wejścia (z reklam i 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GA4,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Optymalizować te strony w pierwszej kolejności, nie tylko stronę główną</w:t>
            </w:r>
          </w:p>
        </w:tc>
      </w:tr>
    </w:tbl>
    <w:bookmarkEnd w:id="23"/>
    <w:bookmarkStart w:id="25" w:name="cena-najniższa-cena-z-30-dni-000-p1"/>
    <w:p>
      <w:pPr>
        <w:pStyle w:val="Heading2"/>
      </w:pPr>
      <w:r>
        <w:t xml:space="preserve">2. Cena „Najniższa cena z 30 dni: 0,00” — P1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Gdzie:</w:t>
      </w:r>
      <w:r>
        <w:t xml:space="preserve"> </w:t>
      </w:r>
      <w:r>
        <w:t xml:space="preserve">8 zestawów na /pl/shop/sets: Mini Basic Set, Holy Grail Set, Anti-Aging Set, Supreme Gift Set, Supreme Help Kit, Longevity Set, Ready to Go Set, All Set; także strona główna („Zestawy prezentowe”) i sekcje „Dostępny w zestawie” na kartach produktów. Produkty pojedyncze mają poprawne wartości.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 zrobić:</w:t>
      </w:r>
    </w:p>
    <w:p>
      <w:pPr>
        <w:numPr>
          <w:ilvl w:val="1"/>
          <w:numId w:val="1005"/>
        </w:numPr>
        <w:pStyle w:val="Compact"/>
      </w:pPr>
      <w:r>
        <w:t xml:space="preserve">Sprawdzić historię cen każdego zestawu i rodzaj komunikacji (obniżka ceny zestawu czy porównanie z sumą produktów kupowanych osobno).</w:t>
      </w:r>
    </w:p>
    <w:p>
      <w:pPr>
        <w:numPr>
          <w:ilvl w:val="1"/>
          <w:numId w:val="1005"/>
        </w:numPr>
        <w:pStyle w:val="Compact"/>
      </w:pPr>
      <w:r>
        <w:t xml:space="preserve">Jeśli to obniżka — pokazać rzeczywistą najniższą cenę z 30 dni przed obniżką.</w:t>
      </w:r>
    </w:p>
    <w:p>
      <w:pPr>
        <w:numPr>
          <w:ilvl w:val="1"/>
          <w:numId w:val="1005"/>
        </w:numPr>
        <w:pStyle w:val="Compact"/>
      </w:pPr>
      <w:r>
        <w:t xml:space="preserve">Jeśli to tylko porównanie z sumą produktów — nie wyświetlać pola „0,00”, a porównanie opisać jednoznacznie.</w:t>
      </w:r>
    </w:p>
    <w:p>
      <w:pPr>
        <w:numPr>
          <w:ilvl w:val="1"/>
          <w:numId w:val="1005"/>
        </w:numPr>
        <w:pStyle w:val="Compact"/>
      </w:pPr>
      <w:r>
        <w:t xml:space="preserve">Nie wpisywać mechanicznie przypadkowej kwoty.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Dlaczego:</w:t>
      </w:r>
      <w:r>
        <w:t xml:space="preserve"> </w:t>
      </w:r>
      <w:r>
        <w:t xml:space="preserve">wiarygodność oferty i zgodność z przepisami o informowaniu o obniżkach (Omnibus).</w:t>
      </w:r>
      <w:r>
        <w:t xml:space="preserve"> </w:t>
      </w:r>
      <w:r>
        <w:rPr>
          <w:bCs/>
          <w:b/>
        </w:rPr>
        <w:t xml:space="preserve">Ocenę prawną potwierdzić z prawnikiem.</w:t>
      </w:r>
    </w:p>
    <w:p>
      <w:pPr>
        <w:numPr>
          <w:ilvl w:val="0"/>
          <w:numId w:val="1004"/>
        </w:numPr>
        <w:pStyle w:val="Compact"/>
      </w:pPr>
      <w:r>
        <w:t xml:space="preserve">Źródło:</w:t>
      </w:r>
      <w:r>
        <w:t xml:space="preserve"> </w:t>
      </w:r>
      <w:hyperlink r:id="rId24">
        <w:r>
          <w:rPr>
            <w:rStyle w:val="Hyperlink"/>
          </w:rPr>
          <w:t xml:space="preserve">UOKiK — informacje o obniżkach cen</w:t>
        </w:r>
      </w:hyperlink>
    </w:p>
    <w:bookmarkEnd w:id="25"/>
    <w:bookmarkStart w:id="28" w:name="X23e7396c6d6dde67a58bbb48a1af08f4832b60a"/>
    <w:p>
      <w:pPr>
        <w:pStyle w:val="Heading2"/>
      </w:pPr>
      <w:r>
        <w:t xml:space="preserve">3. Szybkość — strona główna i karty produktów — P1</w:t>
      </w:r>
    </w:p>
    <w:p>
      <w:pPr>
        <w:pStyle w:val="FirstParagraph"/>
      </w:pPr>
      <w:r>
        <w:rPr>
          <w:bCs/>
          <w:b/>
        </w:rPr>
        <w:t xml:space="preserve">Dane prawdziwych użytkowników (PageSpeed Insights, telefony, 28 dni, stan 23.10.2026) — rozstrzygające: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Wskaźnik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 (wyświetlenie głównej treści)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2,5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 (reakcja na dotyk)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poprawy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 (przesunięcia układu)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poprawy</w:t>
            </w:r>
          </w:p>
        </w:tc>
      </w:tr>
    </w:tbl>
    <w:p>
      <w:pPr>
        <w:pStyle w:val="BodyText"/>
      </w:pPr>
      <w:r>
        <w:t xml:space="preserve">Ocena Core Web Vitals:</w:t>
      </w:r>
      <w:r>
        <w:t xml:space="preserve"> </w:t>
      </w:r>
      <w:r>
        <w:rPr>
          <w:bCs/>
          <w:b/>
        </w:rPr>
        <w:t xml:space="preserve">niezaliczona</w:t>
      </w:r>
      <w:r>
        <w:t xml:space="preserve"> </w:t>
      </w:r>
      <w:r>
        <w:t xml:space="preserve">(przez INP i CLS). Wniosek o LCP 14,1 s z testu laboratoryjnego nie dotyczy prawdziwych użytkowników; test laboratoryjny pozostaje użyteczny do wykrycia wagi wideo i blokowania przez skrypty.</w:t>
      </w:r>
    </w:p>
    <w:p>
      <w:pPr>
        <w:pStyle w:val="BodyText"/>
      </w:pPr>
      <w:r>
        <w:rPr>
          <w:bCs/>
          <w:b/>
        </w:rPr>
        <w:t xml:space="preserve">Wyniki testu laboratoryjnego (Lighthouse, emulacja telefonu):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Wczytanie głównej treści (LCP)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Blokada skryptów (TBT)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Strona główna /pl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Divine Cream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 s</w:t>
            </w:r>
          </w:p>
        </w:tc>
      </w:tr>
    </w:tbl>
    <w:p>
      <w:pPr>
        <w:pStyle w:val="BodyText"/>
      </w:pPr>
      <w:r>
        <w:t xml:space="preserve">Norma Google dla dobrego LCP: ≤ 2,5 s.</w:t>
      </w:r>
    </w:p>
    <w:p>
      <w:pPr>
        <w:pStyle w:val="BodyText"/>
      </w:pPr>
      <w:r>
        <w:rPr>
          <w:bCs/>
          <w:b/>
        </w:rPr>
        <w:t xml:space="preserve">Co ustalono:</w:t>
      </w:r>
    </w:p>
    <w:p>
      <w:pPr>
        <w:numPr>
          <w:ilvl w:val="0"/>
          <w:numId w:val="1006"/>
        </w:numPr>
        <w:pStyle w:val="Compact"/>
      </w:pPr>
      <w:r>
        <w:t xml:space="preserve">W teście mobilnym pobrało się</w:t>
      </w:r>
      <w:r>
        <w:t xml:space="preserve"> </w:t>
      </w:r>
      <w:r>
        <w:rPr>
          <w:bCs/>
          <w:b/>
        </w:rPr>
        <w:t xml:space="preserve">12 plików wideo — 19,4 MB</w:t>
      </w:r>
      <w:r>
        <w:t xml:space="preserve"> </w:t>
      </w:r>
      <w:r>
        <w:t xml:space="preserve">(ok. 90% wagi strony):</w:t>
      </w:r>
      <w:r>
        <w:t xml:space="preserve"> </w:t>
      </w:r>
      <w:r>
        <w:rPr>
          <w:rStyle w:val="VerbatimChar"/>
        </w:rPr>
        <w:t xml:space="preserve">film-o-marce-baner-desktop.mov</w:t>
      </w:r>
      <w:r>
        <w:t xml:space="preserve"> </w:t>
      </w:r>
      <w:r>
        <w:t xml:space="preserve">(6,1 MB, wersja desktopowa),</w:t>
      </w:r>
      <w:r>
        <w:t xml:space="preserve"> </w:t>
      </w:r>
      <w:r>
        <w:rPr>
          <w:rStyle w:val="VerbatimChar"/>
        </w:rPr>
        <w:t xml:space="preserve">baner-bajka-1080x2400-cta.mp4</w:t>
      </w:r>
      <w:r>
        <w:t xml:space="preserve"> </w:t>
      </w:r>
      <w:r>
        <w:t xml:space="preserve">(6,0 MB),</w:t>
      </w:r>
      <w:r>
        <w:t xml:space="preserve"> </w:t>
      </w:r>
      <w:r>
        <w:rPr>
          <w:rStyle w:val="VerbatimChar"/>
        </w:rPr>
        <w:t xml:space="preserve">film-koe-desktop.mov</w:t>
      </w:r>
      <w:r>
        <w:t xml:space="preserve"> </w:t>
      </w:r>
      <w:r>
        <w:t xml:space="preserve">(3,6 MB, wersja desktopowa),</w:t>
      </w:r>
      <w:r>
        <w:t xml:space="preserve"> </w:t>
      </w:r>
      <w:r>
        <w:rPr>
          <w:rStyle w:val="VerbatimChar"/>
        </w:rPr>
        <w:t xml:space="preserve">film-koe-mobile.mov</w:t>
      </w:r>
      <w:r>
        <w:t xml:space="preserve"> </w:t>
      </w:r>
      <w:r>
        <w:t xml:space="preserve">(3,4 MB). MB = 1024 KiB.</w:t>
      </w:r>
    </w:p>
    <w:p>
      <w:pPr>
        <w:numPr>
          <w:ilvl w:val="0"/>
          <w:numId w:val="1006"/>
        </w:numPr>
        <w:pStyle w:val="Compact"/>
      </w:pPr>
      <w:r>
        <w:t xml:space="preserve">Odpowiedź serwera: 140 ms —</w:t>
      </w:r>
      <w:r>
        <w:t xml:space="preserve"> </w:t>
      </w:r>
      <w:r>
        <w:rPr>
          <w:bCs/>
          <w:b/>
        </w:rPr>
        <w:t xml:space="preserve">serwer nie jest przyczyną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Skrypty zewnętrzne (Google Tag Manager, gtag) blokują stronę na 1,15 s; ok. 450 KB nieużywanego JavaScriptu.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Nie ustalono</w:t>
      </w:r>
      <w:r>
        <w:t xml:space="preserve">, który element odpowiada za LCP — Lighthouse go nie wskazał. Dlatego nie da się z góry podać, ile sekund przyniesie sama optymalizacja filmów.</w:t>
      </w:r>
    </w:p>
    <w:p>
      <w:pPr>
        <w:pStyle w:val="FirstParagraph"/>
      </w:pPr>
      <w:r>
        <w:rPr>
          <w:bCs/>
          <w:b/>
        </w:rPr>
        <w:t xml:space="preserve">Co zrobić:</w:t>
      </w:r>
    </w:p>
    <w:p>
      <w:pPr>
        <w:numPr>
          <w:ilvl w:val="0"/>
          <w:numId w:val="1007"/>
        </w:numPr>
        <w:pStyle w:val="Compact"/>
      </w:pPr>
      <w:r>
        <w:t xml:space="preserve">Ustalić element LCP (PageSpeed Insights / Chrome DevTools → Performance) dla strony głównej i najważniejszych kart produktów.</w:t>
      </w:r>
    </w:p>
    <w:p>
      <w:pPr>
        <w:numPr>
          <w:ilvl w:val="0"/>
          <w:numId w:val="1007"/>
        </w:numPr>
        <w:pStyle w:val="Compact"/>
      </w:pPr>
      <w:r>
        <w:t xml:space="preserve">Przekonwertować filmy do MP4 (H.264) i/lub WebM, cel ≤ 1–1,5 MB każdy; na telefonie nie ładować wersji desktopowych.</w:t>
      </w:r>
    </w:p>
    <w:p>
      <w:pPr>
        <w:numPr>
          <w:ilvl w:val="0"/>
          <w:numId w:val="1007"/>
        </w:numPr>
        <w:pStyle w:val="Compact"/>
      </w:pPr>
      <w:r>
        <w:t xml:space="preserve">Filmy</w:t>
      </w:r>
      <w:r>
        <w:t xml:space="preserve"> </w:t>
      </w:r>
      <w:r>
        <w:rPr>
          <w:bCs/>
          <w:b/>
        </w:rPr>
        <w:t xml:space="preserve">poniżej pierwszego ekranu</w:t>
      </w:r>
      <w:r>
        <w:t xml:space="preserve">: obraz zastępczy (poster) + ładowanie po wejściu w widok.</w:t>
      </w:r>
      <w:r>
        <w:t xml:space="preserve"> </w:t>
      </w:r>
      <w:r>
        <w:rPr>
          <w:bCs/>
          <w:b/>
        </w:rPr>
        <w:t xml:space="preserve">Elementu LCP nie ładować leniwie</w:t>
      </w:r>
      <w:r>
        <w:t xml:space="preserve"> </w:t>
      </w:r>
      <w:r>
        <w:t xml:space="preserve">— to by go opóźniło.</w:t>
      </w:r>
    </w:p>
    <w:p>
      <w:pPr>
        <w:numPr>
          <w:ilvl w:val="0"/>
          <w:numId w:val="1007"/>
        </w:numPr>
        <w:pStyle w:val="Compact"/>
      </w:pPr>
      <w:r>
        <w:t xml:space="preserve">Przejrzeć tagi w GTM, usunąć nieużywane.</w:t>
      </w:r>
    </w:p>
    <w:p>
      <w:pPr>
        <w:numPr>
          <w:ilvl w:val="0"/>
          <w:numId w:val="1007"/>
        </w:numPr>
        <w:pStyle w:val="Compact"/>
      </w:pPr>
      <w:r>
        <w:t xml:space="preserve">Powtórzyć pomiar i sprawdzić raport Core Web Vitals w Search Console (dane realnych użytkowników).</w:t>
      </w:r>
    </w:p>
    <w:p>
      <w:pPr>
        <w:pStyle w:val="FirstParagraph"/>
      </w:pPr>
      <w:r>
        <w:rPr>
          <w:bCs/>
          <w:b/>
        </w:rPr>
        <w:t xml:space="preserve">Dlaczego:</w:t>
      </w:r>
      <w:r>
        <w:t xml:space="preserve"> </w:t>
      </w:r>
      <w:r>
        <w:t xml:space="preserve">ciężkie strony na telefonie zwiększają ryzyko porzucenia wizyty, w tym wizyt opłaconych reklamą. Źródła:</w:t>
      </w:r>
      <w:r>
        <w:t xml:space="preserve"> </w:t>
      </w:r>
      <w:hyperlink r:id="rId26">
        <w:r>
          <w:rPr>
            <w:rStyle w:val="Hyperlink"/>
          </w:rPr>
          <w:t xml:space="preserve">Web Vitals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metryki wydajności</w:t>
        </w:r>
      </w:hyperlink>
      <w:r>
        <w:t xml:space="preserve">.</w:t>
      </w:r>
    </w:p>
    <w:bookmarkEnd w:id="28"/>
    <w:bookmarkStart w:id="31" w:name="merchant-center-p1"/>
    <w:p>
      <w:pPr>
        <w:pStyle w:val="Heading2"/>
      </w:pPr>
      <w:r>
        <w:t xml:space="preserve">4. Merchant Center — P1</w:t>
      </w:r>
    </w:p>
    <w:p>
      <w:pPr>
        <w:pStyle w:val="FirstParagraph"/>
      </w:pPr>
      <w:r>
        <w:t xml:space="preserve">Właścicielka ma dostęp. Sprawdzić:</w:t>
      </w:r>
    </w:p>
    <w:p>
      <w:pPr>
        <w:numPr>
          <w:ilvl w:val="0"/>
          <w:numId w:val="1008"/>
        </w:numPr>
        <w:pStyle w:val="Compact"/>
      </w:pPr>
      <w:r>
        <w:t xml:space="preserve">Diagnostykę: odrzucone produkty, niezgodności ceny i dostępności, warianty, linki prowadzące do właściwego wariantu.</w:t>
      </w:r>
    </w:p>
    <w:p>
      <w:pPr>
        <w:numPr>
          <w:ilvl w:val="0"/>
          <w:numId w:val="1008"/>
        </w:numPr>
        <w:pStyle w:val="Compact"/>
      </w:pPr>
      <w:r>
        <w:t xml:space="preserve">Czy przekazywane są</w:t>
      </w:r>
      <w:r>
        <w:t xml:space="preserve"> </w:t>
      </w:r>
      <w:r>
        <w:rPr>
          <w:bCs/>
          <w:b/>
        </w:rPr>
        <w:t xml:space="preserve">GTIN/EAN</w:t>
      </w:r>
      <w:r>
        <w:t xml:space="preserve"> </w:t>
      </w:r>
      <w:r>
        <w:t xml:space="preserve">— jeśli produkt ma nadany kod, przekazać właściwy dla danego produktu lub zestawu;</w:t>
      </w:r>
      <w:r>
        <w:t xml:space="preserve"> </w:t>
      </w:r>
      <w:r>
        <w:rPr>
          <w:bCs/>
          <w:b/>
        </w:rPr>
        <w:t xml:space="preserve">nie wymyślać kodów</w:t>
      </w:r>
      <w:r>
        <w:t xml:space="preserve">. Brak w kodzie strony nie przesądza o braku w Merchant Center.</w:t>
      </w:r>
    </w:p>
    <w:p>
      <w:pPr>
        <w:numPr>
          <w:ilvl w:val="0"/>
          <w:numId w:val="1008"/>
        </w:numPr>
        <w:pStyle w:val="Compact"/>
      </w:pPr>
      <w:r>
        <w:t xml:space="preserve">Czy włączone są bezpłatne informacje o produktach.</w:t>
      </w:r>
    </w:p>
    <w:p>
      <w:pPr>
        <w:numPr>
          <w:ilvl w:val="0"/>
          <w:numId w:val="1008"/>
        </w:numPr>
        <w:pStyle w:val="Compact"/>
      </w:pPr>
      <w:r>
        <w:t xml:space="preserve">Program</w:t>
      </w:r>
      <w:r>
        <w:t xml:space="preserve"> </w:t>
      </w:r>
      <w:r>
        <w:rPr>
          <w:bCs/>
          <w:b/>
        </w:rPr>
        <w:t xml:space="preserve">Product Ratings</w:t>
      </w:r>
      <w:r>
        <w:t xml:space="preserve"> </w:t>
      </w:r>
      <w:r>
        <w:t xml:space="preserve">(oceny produktów w Zakupach): sprawdzić wymagania i czy sklep może przekazywać opinie. Gwiazdki są możliwym efektem,</w:t>
      </w:r>
      <w:r>
        <w:t xml:space="preserve"> </w:t>
      </w:r>
      <w:r>
        <w:rPr>
          <w:bCs/>
          <w:b/>
        </w:rPr>
        <w:t xml:space="preserve">nie gwarancją</w:t>
      </w:r>
      <w:r>
        <w:t xml:space="preserve"> </w:t>
      </w:r>
      <w:r>
        <w:t xml:space="preserve">— Google decyduje o wyświetleniu, a liczba i średnia mogą się różnić od tych w sklepie.</w:t>
      </w:r>
    </w:p>
    <w:p>
      <w:pPr>
        <w:pStyle w:val="FirstParagraph"/>
      </w:pPr>
      <w:r>
        <w:t xml:space="preserve">Źródła:</w:t>
      </w:r>
      <w:r>
        <w:t xml:space="preserve"> </w:t>
      </w:r>
      <w:hyperlink r:id="rId29">
        <w:r>
          <w:rPr>
            <w:rStyle w:val="Hyperlink"/>
          </w:rPr>
          <w:t xml:space="preserve">GTIN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Product Ratings</w:t>
        </w:r>
      </w:hyperlink>
    </w:p>
    <w:bookmarkEnd w:id="31"/>
    <w:bookmarkStart w:id="34" w:name="dane-produktów-na-stronie-schema.org-p2"/>
    <w:p>
      <w:pPr>
        <w:pStyle w:val="Heading2"/>
      </w:pPr>
      <w:r>
        <w:t xml:space="preserve">5. Dane produktów na stronie (schema.org) — P2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 (sprawdzony)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Poprawka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Opis w danych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Divine Cream: „krem do twarzy, krem na dzień, krem na noc, …, dla nastolatków”; Divine Elixir: „tonik, esencja, aktywator młodości, 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Normalny opis 1–3 zdania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 oferty wariantów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Wariant 45 ml i Grand mają ten sam</w:t>
            </w:r>
            <w:r>
              <w:t xml:space="preserve"> </w:t>
            </w:r>
            <w:r>
              <w:rPr>
                <w:rStyle w:val="VerbatimChar"/>
              </w:rPr>
              <w:t xml:space="preserve">offers.url</w:t>
            </w:r>
            <w:r>
              <w:t xml:space="preserve"> </w:t>
            </w:r>
            <w:r>
              <w:t xml:space="preserve">bez parametru wariantu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Osobny adres dla każdego wariantu (np.</w:t>
            </w:r>
            <w:r>
              <w:t xml:space="preserve"> </w:t>
            </w:r>
            <w:r>
              <w:rPr>
                <w:rStyle w:val="VerbatimChar"/>
              </w:rPr>
              <w:t xml:space="preserve">?v=793</w:t>
            </w:r>
            <w:r>
              <w:t xml:space="preserve">) zgodnie z wytycznymi Google dla wariantów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Podwójny ukośnik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https://samarite.eu//pl/...</w:t>
            </w:r>
            <w:r>
              <w:t xml:space="preserve"> </w:t>
            </w:r>
            <w:r>
              <w:t xml:space="preserve">w okruszkach i ofercie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https://samarite.eu/pl/...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GTIN/EAN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w kodzie strony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Dodać, jeśli kody istnieją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„Samarite”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„Samarité”</w:t>
            </w:r>
          </w:p>
        </w:tc>
      </w:tr>
    </w:tbl>
    <w:p>
      <w:pPr>
        <w:pStyle w:val="BodyText"/>
      </w:pPr>
      <w:r>
        <w:t xml:space="preserve">Źródła:</w:t>
      </w:r>
      <w:r>
        <w:t xml:space="preserve"> </w:t>
      </w:r>
      <w:hyperlink r:id="rId32">
        <w:r>
          <w:rPr>
            <w:rStyle w:val="Hyperlink"/>
          </w:rPr>
          <w:t xml:space="preserve">dane produktów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warianty produktów</w:t>
        </w:r>
      </w:hyperlink>
    </w:p>
    <w:bookmarkEnd w:id="34"/>
    <w:bookmarkStart w:id="35" w:name="polityka-promocji-i-marża-p2"/>
    <w:p>
      <w:pPr>
        <w:pStyle w:val="Heading2"/>
      </w:pPr>
      <w:r>
        <w:t xml:space="preserve">6. Polityka promocji i marża — P2</w:t>
      </w:r>
    </w:p>
    <w:p>
      <w:pPr>
        <w:numPr>
          <w:ilvl w:val="0"/>
          <w:numId w:val="1009"/>
        </w:numPr>
        <w:pStyle w:val="Compact"/>
      </w:pPr>
      <w:r>
        <w:t xml:space="preserve">Jednocześnie działają: 15% za newsletter, 2+1 (kod TRIO), zestawy poniżej sumy produktów, obniżki na bestsellerach.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 zrobić:</w:t>
      </w:r>
      <w:r>
        <w:t xml:space="preserve"> </w:t>
      </w:r>
      <w:r>
        <w:t xml:space="preserve">policzyć, czy rabaty się łączą; marżę po rabatach, reklamie i obsłudze zamówienia; udział nowych i powracających klientek; czy nowe klientki kupują ponownie bez kolejnej dużej zniżki.</w:t>
      </w:r>
    </w:p>
    <w:p>
      <w:pPr>
        <w:numPr>
          <w:ilvl w:val="0"/>
          <w:numId w:val="1009"/>
        </w:numPr>
        <w:pStyle w:val="Compact"/>
      </w:pPr>
      <w:r>
        <w:t xml:space="preserve">Rozdzielić wyniki kampanii na nazwę marki i pozostałych.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Dlaczego:</w:t>
      </w:r>
      <w:r>
        <w:t xml:space="preserve"> </w:t>
      </w:r>
      <w:r>
        <w:t xml:space="preserve">wysoki przychód lub ROAS nie mówi, czy sprzedaż jest dodatkowa i rentowna.</w:t>
      </w:r>
      <w:r>
        <w:t xml:space="preserve"> </w:t>
      </w:r>
      <w:r>
        <w:rPr>
          <w:bCs/>
          <w:b/>
        </w:rPr>
        <w:t xml:space="preserve">Stan obecny: WYMAGA SPRAWDZENIA.</w:t>
      </w:r>
    </w:p>
    <w:bookmarkEnd w:id="35"/>
    <w:bookmarkStart w:id="36" w:name="e-mail-i-sms-p2"/>
    <w:p>
      <w:pPr>
        <w:pStyle w:val="Heading2"/>
      </w:pPr>
      <w:r>
        <w:t xml:space="preserve">7. E-mail i SMS — P2</w:t>
      </w:r>
    </w:p>
    <w:p>
      <w:pPr>
        <w:pStyle w:val="FirstParagraph"/>
      </w:pPr>
      <w:r>
        <w:t xml:space="preserve">Sprawdzić, czy działają i jak konwertują:</w:t>
      </w:r>
    </w:p>
    <w:p>
      <w:pPr>
        <w:numPr>
          <w:ilvl w:val="0"/>
          <w:numId w:val="1010"/>
        </w:numPr>
        <w:pStyle w:val="Compact"/>
      </w:pPr>
      <w:r>
        <w:t xml:space="preserve">seria powitalna po zapisie (kod 15%),</w:t>
      </w:r>
    </w:p>
    <w:p>
      <w:pPr>
        <w:numPr>
          <w:ilvl w:val="0"/>
          <w:numId w:val="1010"/>
        </w:numPr>
        <w:pStyle w:val="Compact"/>
      </w:pPr>
      <w:r>
        <w:t xml:space="preserve">porzucony koszyk,</w:t>
      </w:r>
    </w:p>
    <w:p>
      <w:pPr>
        <w:numPr>
          <w:ilvl w:val="0"/>
          <w:numId w:val="1010"/>
        </w:numPr>
        <w:pStyle w:val="Compact"/>
      </w:pPr>
      <w:r>
        <w:t xml:space="preserve">instrukcja użycia po zakupie (np. jak łączyć Divine Cream z Elixirem),</w:t>
      </w:r>
    </w:p>
    <w:p>
      <w:pPr>
        <w:numPr>
          <w:ilvl w:val="0"/>
          <w:numId w:val="1010"/>
        </w:numPr>
        <w:pStyle w:val="Compact"/>
      </w:pPr>
      <w:r>
        <w:t xml:space="preserve">przypomnienie o ponownym zamówieniu (po czasie zużycia produktu),</w:t>
      </w:r>
    </w:p>
    <w:p>
      <w:pPr>
        <w:numPr>
          <w:ilvl w:val="0"/>
          <w:numId w:val="1010"/>
        </w:numPr>
        <w:pStyle w:val="Compact"/>
      </w:pPr>
      <w:r>
        <w:t xml:space="preserve">prośba o opinię.</w:t>
      </w:r>
    </w:p>
    <w:p>
      <w:pPr>
        <w:pStyle w:val="FirstParagraph"/>
      </w:pPr>
      <w:r>
        <w:rPr>
          <w:bCs/>
          <w:b/>
        </w:rPr>
        <w:t xml:space="preserve">Stan obecny: WYMAGA SPRAWDZENIA.</w:t>
      </w:r>
      <w:r>
        <w:t xml:space="preserve"> </w:t>
      </w:r>
      <w:r>
        <w:t xml:space="preserve">To rozwój sprzedaży z istniejącego ruchu i bazy — bez dodatkowych kosztów reklamy.</w:t>
      </w:r>
    </w:p>
    <w:bookmarkEnd w:id="36"/>
    <w:bookmarkStart w:id="38" w:name="deklaracje-marketingowe-claims-p2"/>
    <w:p>
      <w:pPr>
        <w:pStyle w:val="Heading2"/>
      </w:pPr>
      <w:r>
        <w:t xml:space="preserve">8. Deklaracje marketingowe (claims) — P2</w:t>
      </w:r>
    </w:p>
    <w:p>
      <w:pPr>
        <w:pStyle w:val="FirstParagraph"/>
      </w:pPr>
      <w:r>
        <w:t xml:space="preserve">Przykłady ze stron produktów:</w:t>
      </w:r>
    </w:p>
    <w:p>
      <w:pPr>
        <w:numPr>
          <w:ilvl w:val="0"/>
          <w:numId w:val="1011"/>
        </w:numPr>
        <w:pStyle w:val="Compact"/>
      </w:pPr>
      <w:r>
        <w:t xml:space="preserve">„JEDYNY KREM DO TWARZY ODPOWIADAJĄCY NA ABSOLUTNIE WSZYSTKIE POTRZEBY SKÓRY”</w:t>
      </w:r>
    </w:p>
    <w:p>
      <w:pPr>
        <w:numPr>
          <w:ilvl w:val="0"/>
          <w:numId w:val="1011"/>
        </w:numPr>
        <w:pStyle w:val="Compact"/>
      </w:pPr>
      <w:r>
        <w:t xml:space="preserve">„inteligentna formuła identyfikuje potrzeby skóry”</w:t>
      </w:r>
    </w:p>
    <w:p>
      <w:pPr>
        <w:numPr>
          <w:ilvl w:val="0"/>
          <w:numId w:val="1011"/>
        </w:numPr>
        <w:pStyle w:val="Compact"/>
      </w:pPr>
      <w:r>
        <w:t xml:space="preserve">„ZASTĘPUJE 5 INNYCH KREMÓW”</w:t>
      </w:r>
    </w:p>
    <w:p>
      <w:pPr>
        <w:numPr>
          <w:ilvl w:val="0"/>
          <w:numId w:val="1011"/>
        </w:numPr>
        <w:pStyle w:val="Compact"/>
      </w:pPr>
      <w:r>
        <w:t xml:space="preserve">„100%* Dogłębnie nawilża przez 48h” — przypis „% osób potwierdzających rezultaty na podstawie badań aplikacyjnych lub aparaturowych” bez liczby badanych i czasu badania</w:t>
      </w:r>
    </w:p>
    <w:p>
      <w:pPr>
        <w:numPr>
          <w:ilvl w:val="0"/>
          <w:numId w:val="1011"/>
        </w:numPr>
        <w:pStyle w:val="Compact"/>
      </w:pPr>
      <w:r>
        <w:t xml:space="preserve">Divine Cream polecany dla skóry wrażliwej; skład zawiera składniki zapachowe (m.in. limonene, coumarin wg INCIDecoder)</w:t>
      </w:r>
    </w:p>
    <w:p>
      <w:pPr>
        <w:pStyle w:val="FirstParagraph"/>
      </w:pPr>
      <w:r>
        <w:rPr>
          <w:bCs/>
          <w:b/>
        </w:rPr>
        <w:t xml:space="preserve">Co zrobić:</w:t>
      </w:r>
      <w:r>
        <w:t xml:space="preserve"> </w:t>
      </w:r>
      <w:r>
        <w:t xml:space="preserve">przegląd deklaracji razem z dokumentacją badań. Przy każdym „%” podać liczbę osób, czas, rodzaj badania. Oczywista hiperbola reklamowa może być dopuszczalna, ale twierdzenia o działaniu wymagają dowodów, a przypisywanie wyjątkowości cechom wspólnym z innymi produktami jest niedozwolone. Deklaracje „naturalności” opierać na ISO 16128.</w:t>
      </w:r>
    </w:p>
    <w:p>
      <w:pPr>
        <w:pStyle w:val="BodyText"/>
      </w:pPr>
      <w:r>
        <w:rPr>
          <w:bCs/>
          <w:b/>
        </w:rPr>
        <w:t xml:space="preserve">Dlaczego:</w:t>
      </w:r>
      <w:r>
        <w:t xml:space="preserve"> </w:t>
      </w:r>
      <w:r>
        <w:t xml:space="preserve">Rozporządzenie (UE) 655/2013.</w:t>
      </w:r>
      <w:r>
        <w:t xml:space="preserve"> </w:t>
      </w:r>
      <w:r>
        <w:rPr>
          <w:bCs/>
          <w:b/>
        </w:rPr>
        <w:t xml:space="preserve">Nie przesądzam naruszenia — ocenę potwierdzić z prawnikiem.</w:t>
      </w:r>
      <w:r>
        <w:t xml:space="preserve"> </w:t>
      </w:r>
      <w:r>
        <w:t xml:space="preserve">Źródło:</w:t>
      </w:r>
      <w:r>
        <w:t xml:space="preserve"> </w:t>
      </w:r>
      <w:hyperlink r:id="rId37">
        <w:r>
          <w:rPr>
            <w:rStyle w:val="Hyperlink"/>
          </w:rPr>
          <w:t xml:space="preserve">Rozporządzenie 655/2013</w:t>
        </w:r>
      </w:hyperlink>
    </w:p>
    <w:bookmarkEnd w:id="38"/>
    <w:bookmarkStart w:id="39" w:name="Xa082e4f862fcdd2d379a2e9973dca78b0814192"/>
    <w:p>
      <w:pPr>
        <w:pStyle w:val="Heading2"/>
      </w:pPr>
      <w:r>
        <w:t xml:space="preserve">9. Sprzeczne sygnały: robots.txt vs sitemap i hreflang — P2</w:t>
      </w:r>
    </w:p>
    <w:p>
      <w:pPr>
        <w:numPr>
          <w:ilvl w:val="0"/>
          <w:numId w:val="1012"/>
        </w:numPr>
        <w:pStyle w:val="Compact"/>
      </w:pPr>
      <w:r>
        <w:t xml:space="preserve">robots.txt blokuje:</w:t>
      </w:r>
      <w:r>
        <w:t xml:space="preserve"> </w:t>
      </w:r>
      <w:r>
        <w:rPr>
          <w:rStyle w:val="VerbatimChar"/>
        </w:rPr>
        <w:t xml:space="preserve">/de/</w:t>
      </w:r>
      <w:r>
        <w:t xml:space="preserve">,</w:t>
      </w:r>
      <w:r>
        <w:t xml:space="preserve"> </w:t>
      </w:r>
      <w:r>
        <w:rPr>
          <w:rStyle w:val="VerbatimChar"/>
        </w:rPr>
        <w:t xml:space="preserve">/at/</w:t>
      </w:r>
      <w:r>
        <w:t xml:space="preserve">,</w:t>
      </w:r>
      <w:r>
        <w:t xml:space="preserve"> </w:t>
      </w:r>
      <w:r>
        <w:rPr>
          <w:rStyle w:val="VerbatimChar"/>
        </w:rPr>
        <w:t xml:space="preserve">/fr/</w:t>
      </w:r>
      <w:r>
        <w:t xml:space="preserve">,</w:t>
      </w:r>
      <w:r>
        <w:t xml:space="preserve"> </w:t>
      </w:r>
      <w:r>
        <w:rPr>
          <w:rStyle w:val="VerbatimChar"/>
        </w:rPr>
        <w:t xml:space="preserve">/it/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/nl/</w:t>
      </w:r>
      <w:r>
        <w:t xml:space="preserve"> </w:t>
      </w:r>
      <w:r>
        <w:t xml:space="preserve">i 18 innych krajów.</w:t>
      </w:r>
    </w:p>
    <w:p>
      <w:pPr>
        <w:numPr>
          <w:ilvl w:val="0"/>
          <w:numId w:val="1012"/>
        </w:numPr>
        <w:pStyle w:val="Compact"/>
      </w:pPr>
      <w:r>
        <w:t xml:space="preserve">Jednocześnie sitemap.xml zawiera</w:t>
      </w:r>
      <w:r>
        <w:t xml:space="preserve"> </w:t>
      </w:r>
      <w:r>
        <w:rPr>
          <w:bCs/>
          <w:b/>
        </w:rPr>
        <w:t xml:space="preserve">48 adresów /de</w:t>
      </w:r>
      <w:r>
        <w:t xml:space="preserve">, a znaczniki hreflang wskazują wszystkie 30 wersji.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Decyzja:</w:t>
      </w:r>
      <w:r>
        <w:t xml:space="preserve"> </w:t>
      </w:r>
      <w:r>
        <w:t xml:space="preserve">jeśli Niemcy/Austria/inne kraje są rynkiem docelowym → odblokować; jeśli nie → usunąć te adresy z sitemap i hreflang.</w:t>
      </w:r>
    </w:p>
    <w:bookmarkEnd w:id="39"/>
    <w:bookmarkStart w:id="40" w:name="strona-główna-tytuły-i-opisy-p2"/>
    <w:p>
      <w:pPr>
        <w:pStyle w:val="Heading2"/>
      </w:pPr>
      <w:r>
        <w:t xml:space="preserve">10. Strona główna, tytuły i opisy — P2</w:t>
      </w:r>
    </w:p>
    <w:p>
      <w:pPr>
        <w:pStyle w:val="FirstParagraph"/>
      </w:pPr>
      <w:r>
        <w:rPr>
          <w:bCs/>
          <w:b/>
        </w:rPr>
        <w:t xml:space="preserve">Strona główna:</w:t>
      </w:r>
    </w:p>
    <w:p>
      <w:pPr>
        <w:numPr>
          <w:ilvl w:val="0"/>
          <w:numId w:val="1013"/>
        </w:numPr>
        <w:pStyle w:val="Compact"/>
      </w:pPr>
      <w:r>
        <w:t xml:space="preserve">Brak nagłówka H1. Propozycja: „Samarité – polskie kosmetyki naturalne: krem do twarzy i pod oczy, eliksir, balsam”.</w:t>
      </w:r>
    </w:p>
    <w:p>
      <w:pPr>
        <w:numPr>
          <w:ilvl w:val="0"/>
          <w:numId w:val="1013"/>
        </w:numPr>
        <w:pStyle w:val="Compact"/>
      </w:pPr>
      <w:r>
        <w:t xml:space="preserve">25 z 52 zdjęć bez opisu (alt); na karcie Divine Cream 74 ze 131.</w:t>
      </w:r>
    </w:p>
    <w:p>
      <w:pPr>
        <w:pStyle w:val="FirstParagraph"/>
      </w:pPr>
      <w:r>
        <w:rPr>
          <w:bCs/>
          <w:b/>
        </w:rPr>
        <w:t xml:space="preserve">Tytuły i opisy (obecny → problem → propozycja):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Obecnie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Propozycja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„Divine Cream - Krem do twarzy i pod oczy, na dzień i na noc | Samarité | Samarite”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 2×, 81 znaków — ucinany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„Divine Cream – krem do twarzy i pod oczy, dzień i noc | Samarité”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Opis: „Divine Cream - Krem do twarzy i pod oczy, na dzień i na noc. Sprawdź ofertę naturalnych kosmetyków Samarité!” (ten sam szablon na każdej karcie)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powodu do kliknięcia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„Krem do twarzy i pod oczy na dzień i noc. 4,9/5 z ponad 2000 opinii w naszym sklepie. 33 zioła i niacynamid. Darmowa dostawa.”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Tytuł bloga: „KREM NA ZMARSZCZKI: JAK WYBRAĆ NAJLEPSZY KREM DOSTOSOWANY DO WIEKU I POTRZEB SKÓRY | Samarite”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znaki, wersaliki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„Krem na zmarszczki – jak wybrać do wieku i skóry | Samarité”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Opis artykułu zaczyna się od</w:t>
            </w:r>
            <w:r>
              <w:t xml:space="preserve"> </w:t>
            </w:r>
            <w:r>
              <w:rPr>
                <w:rStyle w:val="VerbatimChar"/>
              </w:rPr>
              <w:t xml:space="preserve">**Zanim wybierzesz…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Znaczniki formatowania w opisie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Usunąć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</w:p>
        </w:tc>
      </w:tr>
    </w:tbl>
    <w:p>
      <w:pPr>
        <w:pStyle w:val="BodyText"/>
      </w:pPr>
      <w:r>
        <w:t xml:space="preserve">Wpływ na sprzedaż: pośredni (klikalność z Google) — mierzyć CTR w Search Console przed i po.</w:t>
      </w:r>
    </w:p>
    <w:bookmarkEnd w:id="40"/>
    <w:bookmarkStart w:id="41" w:name="dane-o-marce-eksperci-mapa-strony-p3"/>
    <w:p>
      <w:pPr>
        <w:pStyle w:val="Heading2"/>
      </w:pPr>
      <w:r>
        <w:t xml:space="preserve">11. Dane o marce, eksperci, mapa strony — P3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na stronie głównej tylko LocalBusiness (butik). Organization (na blogu) ma opis po angielsku. Dodać na stronie głównej: name „Samarité”, alternateName „Samarite”, legalName „Zeme Pharm Anna Mrowińska”, polski opis,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→ Instagram, Facebook, TikTok, YouTube, profil na Wizaż.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Niespójność:</w:t>
      </w:r>
      <w:r>
        <w:t xml:space="preserve"> </w:t>
      </w:r>
      <w:r>
        <w:t xml:space="preserve">foundingDate 2019 w danych vs „od 8 lat” w tekście strony głównej — ujednolicić.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Eksperci:</w:t>
      </w:r>
      <w:r>
        <w:t xml:space="preserve"> </w:t>
      </w:r>
      <w:r>
        <w:t xml:space="preserve">literówka „eksperów Samaritè” → „ekspertów Samarité”; autor w danych artykułu: „mgr chemii</w:t>
      </w:r>
      <w:r>
        <w:t xml:space="preserve">ZAPISEK -</w:t>
      </w:r>
      <w:r>
        <w:t xml:space="preserve">TECHNOLOG” → name „Barbara Zapisek”, jobTitle „Główny technolog”.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sitemap.xml:</w:t>
      </w:r>
      <w:r>
        <w:t xml:space="preserve"> </w:t>
      </w:r>
      <w:r>
        <w:t xml:space="preserve">56 z 320 adresów (m.in. strona główna, sklep, blog) ma zastępczą datę</w:t>
      </w:r>
      <w:r>
        <w:t xml:space="preserve"> </w:t>
      </w:r>
      <w:r>
        <w:rPr>
          <w:rStyle w:val="VerbatimChar"/>
        </w:rPr>
        <w:t xml:space="preserve">2025-01-01</w:t>
      </w:r>
      <w:r>
        <w:t xml:space="preserve"> </w:t>
      </w:r>
      <w:r>
        <w:t xml:space="preserve">— generować prawdziwe daty zmian.</w:t>
      </w:r>
    </w:p>
    <w:bookmarkEnd w:id="41"/>
    <w:bookmarkStart w:id="45" w:name="X53cf3160d69e38afd07c9a6dc6c67918810e01c"/>
    <w:p>
      <w:pPr>
        <w:pStyle w:val="Heading2"/>
      </w:pPr>
      <w:r>
        <w:t xml:space="preserve">12. Widoczność w AI (ChatGPT, Google AI, Perplexity) — P2/P3</w:t>
      </w:r>
    </w:p>
    <w:p>
      <w:pPr>
        <w:pStyle w:val="FirstParagraph"/>
      </w:pPr>
      <w:r>
        <w:rPr>
          <w:bCs/>
          <w:b/>
        </w:rPr>
        <w:t xml:space="preserve">Nie ma metody gwarantującej polecenie marki przez AI.</w:t>
      </w:r>
      <w:r>
        <w:t xml:space="preserve"> </w:t>
      </w:r>
      <w:r>
        <w:t xml:space="preserve">Można zwiększyć dostępność i jakość informacji.</w:t>
      </w:r>
    </w:p>
    <w:p>
      <w:pPr>
        <w:pStyle w:val="BodyText"/>
      </w:pPr>
      <w:r>
        <w:rPr>
          <w:bCs/>
          <w:b/>
        </w:rPr>
        <w:t xml:space="preserve">Stan:</w:t>
      </w:r>
    </w:p>
    <w:p>
      <w:pPr>
        <w:numPr>
          <w:ilvl w:val="0"/>
          <w:numId w:val="1015"/>
        </w:numPr>
        <w:pStyle w:val="Compact"/>
      </w:pPr>
      <w:r>
        <w:t xml:space="preserve">robots.txt nie blokuje botów AI. Test z identyfikatorami OAI-SearchBot, GPTBot, PerplexityBot i Googlebot zwrócił stronę (200),</w:t>
      </w:r>
      <w:r>
        <w:t xml:space="preserve"> </w:t>
      </w:r>
      <w:r>
        <w:rPr>
          <w:bCs/>
          <w:b/>
        </w:rPr>
        <w:t xml:space="preserve">ale test podszywał się tylko pod nazwę bota</w:t>
      </w:r>
      <w:r>
        <w:t xml:space="preserve"> </w:t>
      </w:r>
      <w:r>
        <w:t xml:space="preserve">— prawdziwe boty mogą być filtrowane przez zabezpieczenia serwera/CDN.</w:t>
      </w:r>
      <w:r>
        <w:t xml:space="preserve"> </w:t>
      </w:r>
      <w:r>
        <w:rPr>
          <w:bCs/>
          <w:b/>
        </w:rPr>
        <w:t xml:space="preserve">WYMAGA SPRAWDZENIA w logach serwera.</w:t>
      </w:r>
    </w:p>
    <w:p>
      <w:pPr>
        <w:numPr>
          <w:ilvl w:val="0"/>
          <w:numId w:val="1015"/>
        </w:numPr>
        <w:pStyle w:val="Compact"/>
      </w:pPr>
      <w:r>
        <w:t xml:space="preserve">Plik llms.txt istnieje —</w:t>
      </w:r>
      <w:r>
        <w:t xml:space="preserve"> </w:t>
      </w:r>
      <w:r>
        <w:rPr>
          <w:bCs/>
          <w:b/>
        </w:rPr>
        <w:t xml:space="preserve">niski priorytet</w:t>
      </w:r>
      <w:r>
        <w:t xml:space="preserve">: Google informuje, że do AI Overviews/AI Mode nie są potrzebne specjalne pliki ani dodatkowe schema.</w:t>
      </w:r>
    </w:p>
    <w:p>
      <w:pPr>
        <w:numPr>
          <w:ilvl w:val="0"/>
          <w:numId w:val="1015"/>
        </w:numPr>
        <w:pStyle w:val="Compact"/>
      </w:pPr>
      <w:r>
        <w:t xml:space="preserve">Blog ma autora, datę, dane Article, FAQ i linki do produktów — dobry fundament.</w:t>
      </w:r>
    </w:p>
    <w:p>
      <w:pPr>
        <w:pStyle w:val="FirstParagraph"/>
      </w:pPr>
      <w:r>
        <w:rPr>
          <w:bCs/>
          <w:b/>
        </w:rPr>
        <w:t xml:space="preserve">Co zrobić: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P2:</w:t>
      </w:r>
      <w:r>
        <w:t xml:space="preserve"> </w:t>
      </w:r>
      <w:r>
        <w:t xml:space="preserve">spójne dane produktów (pkt 5) i jasne opisy: dla kogo, zastosowania, skład, zapach, sposób użycia, podsumowania badań (metoda, liczebność, czas, wynik).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P2:</w:t>
      </w:r>
      <w:r>
        <w:t xml:space="preserve"> </w:t>
      </w:r>
      <w:r>
        <w:t xml:space="preserve">FAQ na kartach produktów odpowiadające na obawy z opinii: „czy można pod oczy” (są skargi na szczypanie), „czy dla cery wrażliwej”, „czy w ciąży”, „jak łączyć z Elixirem”.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P3:</w:t>
      </w:r>
      <w:r>
        <w:t xml:space="preserve"> </w:t>
      </w:r>
      <w:r>
        <w:t xml:space="preserve">rzetelne testy i porównania w mediach (z ujawnieniem współpracy). W sprawdzonych zestawieniach (Elle, Superpharm, natu.care, Wizaż TOP) polecana jest konkurencja. To kierunek budowania rozpoznawalności,</w:t>
      </w:r>
      <w:r>
        <w:t xml:space="preserve"> </w:t>
      </w:r>
      <w:r>
        <w:rPr>
          <w:bCs/>
          <w:b/>
        </w:rPr>
        <w:t xml:space="preserve">nie potwierdzona recepta na cytowanie przez AI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P3 — pomiar:</w:t>
      </w:r>
      <w:r>
        <w:t xml:space="preserve"> </w:t>
      </w:r>
      <w:r>
        <w:t xml:space="preserve">co miesiąc te same neutralne pytania w nowych rozmowach (ChatGPT, Perplexity, Google); zapisywać datę, odpowiedź, źródła, wskazany sklep. Pojedyncza odpowiedź AI nie jest stabilnym rankingiem.</w:t>
      </w:r>
    </w:p>
    <w:p>
      <w:pPr>
        <w:pStyle w:val="FirstParagraph"/>
      </w:pPr>
      <w:r>
        <w:t xml:space="preserve">Źródła:</w:t>
      </w:r>
      <w:r>
        <w:t xml:space="preserve"> </w:t>
      </w:r>
      <w:hyperlink r:id="rId42">
        <w:r>
          <w:rPr>
            <w:rStyle w:val="Hyperlink"/>
          </w:rPr>
          <w:t xml:space="preserve">Google — AI features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OpenAI — boty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Perplexity — boty</w:t>
        </w:r>
      </w:hyperlink>
    </w:p>
    <w:bookmarkEnd w:id="45"/>
    <w:bookmarkEnd w:id="46"/>
    <w:bookmarkStart w:id="47" w:name="test-widoczności-w-ai"/>
    <w:p>
      <w:pPr>
        <w:pStyle w:val="Heading1"/>
      </w:pPr>
      <w:r>
        <w:t xml:space="preserve">Test widoczności w AI</w:t>
      </w:r>
    </w:p>
    <w:p>
      <w:pPr>
        <w:pStyle w:val="FirstParagraph"/>
      </w:pPr>
      <w:r>
        <w:t xml:space="preserve">24.10.2026 zadaliśmy 10 pytań, w których Samarité powinno być polecone (krem do twarzy i pod oczy, jeden krem zamiast kilku, polskie marki naturalne premium, słowiańskie kosmetyki, esencja zamiast kroków koreańskiej pielęgnacji, balsam do twarzy i ciała, prezent, ciąża, krem dla mężczyzny). W ChatGPT i w Gemini marka nie padła ani razu (</w:t>
      </w:r>
      <w:r>
        <w:rPr>
          <w:bCs/>
          <w:b/>
        </w:rPr>
        <w:t xml:space="preserve">0 na 20 odpowiedzi</w:t>
      </w:r>
      <w:r>
        <w:t xml:space="preserve">); we wcześniejszym teście w wyszukiwarce AI Claude — 0 na 6 pytań o kategorię, a na pytanie „gdzie kupić” nie wskazano samarite.eu. Najczęściej polecane były</w:t>
      </w:r>
      <w:r>
        <w:t xml:space="preserve"> </w:t>
      </w:r>
      <w:r>
        <w:rPr>
          <w:bCs/>
          <w:b/>
        </w:rPr>
        <w:t xml:space="preserve">Mokosh (7 z 20)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BasicLab (5 z 20)</w:t>
      </w:r>
      <w:r>
        <w:t xml:space="preserve">, dalej Ministerstwo Dobrego Mydła, Resibo, Vianek i Hagi; Gemini częściej sięgało po marki apteczne i zagraniczne (CeraVe, La Roche-Posay, Embryolisse). Najbardziej bolą przegrane w pytaniach, które opisują produkty Samarité niemal dosłownie: Divine Cream, Divine Elixir i Supreme Balm. Mokosh zajmuje w AI tę samą pozycję, której szuka Samarité (polska marka premium, naturalna, słowiańska), a BasicLab wygrywa rzeczowym opisem składników i zastosowań.</w:t>
      </w:r>
    </w:p>
    <w:bookmarkEnd w:id="47"/>
    <w:bookmarkStart w:id="48" w:name="frazy-kluczowe-kandydaci-do-weryfikacji"/>
    <w:p>
      <w:pPr>
        <w:pStyle w:val="Heading1"/>
      </w:pPr>
      <w:r>
        <w:t xml:space="preserve">Frazy kluczowe — kandydaci do weryfikacji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Cs/>
          <w:b/>
        </w:rPr>
        <w:t xml:space="preserve">nie jest potwierdzona lista szans</w:t>
      </w:r>
      <w:r>
        <w:t xml:space="preserve">. Najpierw sprawdzić w Search Console zapytania, które już dają wyświetlenia, wejścia i zakupy, a wolumeny nowych fraz w Planerze słów kluczowych.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Przykłady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Docelowe miejsce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Marka i produkt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samarite divine cream, samarite opinie, divine cream opinie, samarite skład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 produktu i opinie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Zastosowanie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krem do twarzy i pod oczy, krem na dzień i na noc w jednym, krem z niacynamidem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 produktu i poradnik wyboru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Prezent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zestaw kosmetyków na prezent, kosmetyki na prezent do 150 zł, prezent dla mamy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 prezentowa / zestawy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polskie kosmetyki naturalne, słowiańskie kosmetyki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marki, treści o ofercie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Reklama na nazwę marki:</w:t>
      </w:r>
      <w:r>
        <w:t xml:space="preserve"> </w:t>
      </w:r>
      <w:r>
        <w:t xml:space="preserve">Google Ads → Statystyki aukcji. Jeśli konkurencja nie licytuje „samarite”, a strona jest na 1. miejscu w bezpłatnych wynikach — przetestować niższy budżet przez 2–4 tygodnie i porównać łączną sprzedaż z wyszukiwań na markę.</w:t>
      </w:r>
    </w:p>
    <w:bookmarkEnd w:id="48"/>
    <w:bookmarkStart w:id="49" w:name="X1d54ffee236e390e3018d4cbbef367dda5346a6"/>
    <w:p>
      <w:pPr>
        <w:pStyle w:val="Heading1"/>
      </w:pPr>
      <w:r>
        <w:t xml:space="preserve">Konkurencja (z rankingów i artykułów, nie z danych o udziale w rynku)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Słowiańskie / ziołowe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Mokosh, Slavia Cosmetics, Polny Warkocz, Kwiat Paproci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Naturalne anti-aging 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Orientana, Resibo, Iossi, Veoli Botanica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Polskie premium dermo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Irena Eris, Dr Ambroziak</w:t>
            </w:r>
          </w:p>
        </w:tc>
      </w:tr>
    </w:tbl>
    <w:p>
      <w:pPr>
        <w:pStyle w:val="BodyText"/>
      </w:pPr>
      <w:r>
        <w:t xml:space="preserve">Dystrybucja: perfumeria.pl ma 2 produkty Samarité (oba niedostępne); marka jest też w innych sklepach (eZebra, Minti Shop, Topestetic, MUA Store, Ceneo).</w:t>
      </w:r>
      <w:r>
        <w:t xml:space="preserve"> </w:t>
      </w:r>
      <w:r>
        <w:rPr>
          <w:bCs/>
          <w:b/>
        </w:rPr>
        <w:t xml:space="preserve">Udział kanałów w sprzedaży nieznany.</w:t>
      </w:r>
    </w:p>
    <w:bookmarkEnd w:id="49"/>
    <w:bookmarkStart w:id="50" w:name="plan-wdrożenia"/>
    <w:p>
      <w:pPr>
        <w:pStyle w:val="Heading1"/>
      </w:pPr>
      <w:r>
        <w:t xml:space="preserve">Plan wdrożenia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Działania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Miernik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Tydzień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Pkt 1 (ścieżka zakupu, dane), 2 (cena „0,00”), 3 (diagnoza LCP + filmy), 4 (Merchant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błędów zakupu; poprawne ceny; LCP na kluczowych stronach; 0 odrzuceń w Merchant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Tydzień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Pkt 5, 6, 7, 8, 9,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Konwersja wg urządzenia; marża po rabatach; przychód z e-maili; CTR w Search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Miesiąc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Pkt 11, 12 (FAQ, media, pomiar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Obecność w zestawieniach; test AI co miesiąc</w:t>
            </w:r>
          </w:p>
        </w:tc>
      </w:tr>
    </w:tbl>
    <w:p>
      <w:pPr>
        <w:pStyle w:val="BodyText"/>
      </w:pPr>
      <w:r>
        <w:rPr>
          <w:bCs/>
          <w:b/>
        </w:rPr>
        <w:t xml:space="preserve">Mierzyć co miesiąc:</w:t>
      </w:r>
      <w:r>
        <w:t xml:space="preserve"> </w:t>
      </w:r>
      <w:r>
        <w:t xml:space="preserve">przychód, konwersja i średni koszyk (sklep + GA4), udział powracających klientek, marża po rabatach i reklamie, ruch bezpłatny (Search Console), kliknięcia z Zakupów Google, wynik testu AI.</w:t>
      </w:r>
    </w:p>
    <w:bookmarkEnd w:id="50"/>
    <w:bookmarkStart w:id="51" w:name="źródła"/>
    <w:p>
      <w:pPr>
        <w:pStyle w:val="Heading1"/>
      </w:pPr>
      <w:r>
        <w:t xml:space="preserve">Źródła</w:t>
      </w:r>
    </w:p>
    <w:p>
      <w:pPr>
        <w:numPr>
          <w:ilvl w:val="0"/>
          <w:numId w:val="1017"/>
        </w:numPr>
        <w:pStyle w:val="Compact"/>
      </w:pPr>
      <w:r>
        <w:t xml:space="preserve">samarite.eu: /pl, /pl/product/divine-cream, /pl/product/divine-cream?v=793, /pl/product/divine-elixir, /pl/experts, /pl/blog/krem-na-zmarszczki, /robots.txt, /sitemap.xml, /llms.txt</w:t>
      </w:r>
    </w:p>
    <w:p>
      <w:pPr>
        <w:numPr>
          <w:ilvl w:val="0"/>
          <w:numId w:val="1017"/>
        </w:numPr>
        <w:pStyle w:val="Compact"/>
      </w:pPr>
      <w:r>
        <w:t xml:space="preserve">Wizaż – Divine Cream: https://wizaz.pl/kosmetyki/produkt,307802,samarite-divine-cream.html</w:t>
      </w:r>
    </w:p>
    <w:p>
      <w:pPr>
        <w:numPr>
          <w:ilvl w:val="0"/>
          <w:numId w:val="1017"/>
        </w:numPr>
        <w:pStyle w:val="Compact"/>
      </w:pPr>
      <w:r>
        <w:t xml:space="preserve">Glamour: https://www.glamour.pl/uroda/przetestowalam-krem-ktory-sprzedaje-sie-w-polsce-co-7-minut/</w:t>
      </w:r>
    </w:p>
    <w:p>
      <w:pPr>
        <w:numPr>
          <w:ilvl w:val="0"/>
          <w:numId w:val="1017"/>
        </w:numPr>
        <w:pStyle w:val="Compact"/>
      </w:pPr>
      <w:r>
        <w:t xml:space="preserve">Recenzja negatywna: https://www.mojalepszawersja.pl/2020/04/samarite-divine-cream-nieudana.html</w:t>
      </w:r>
    </w:p>
    <w:p>
      <w:pPr>
        <w:numPr>
          <w:ilvl w:val="0"/>
          <w:numId w:val="1017"/>
        </w:numPr>
        <w:pStyle w:val="Compact"/>
      </w:pPr>
      <w:r>
        <w:t xml:space="preserve">INCI: https://incidecoder.com/products/samarite-divine-cream</w:t>
      </w:r>
    </w:p>
    <w:p>
      <w:pPr>
        <w:numPr>
          <w:ilvl w:val="0"/>
          <w:numId w:val="1017"/>
        </w:numPr>
        <w:pStyle w:val="Compact"/>
      </w:pPr>
      <w:r>
        <w:t xml:space="preserve">Superpharm: https://www.superpharm.pl/blog/naturalny-krem-do-twarzy-jaki-wybrac-polecane-produkty</w:t>
      </w:r>
    </w:p>
    <w:p>
      <w:pPr>
        <w:numPr>
          <w:ilvl w:val="0"/>
          <w:numId w:val="1017"/>
        </w:numPr>
        <w:pStyle w:val="Compact"/>
      </w:pPr>
      <w:r>
        <w:t xml:space="preserve">Elle – marki naturalne: https://www.elle.pl/uroda/najlepsze-kremy-nawilzajace-do-twarzy-od-polskich-marek-naturalnych-przeglad-i-opinie/</w:t>
      </w:r>
    </w:p>
    <w:p>
      <w:pPr>
        <w:numPr>
          <w:ilvl w:val="0"/>
          <w:numId w:val="1017"/>
        </w:numPr>
        <w:pStyle w:val="Compact"/>
      </w:pPr>
      <w:r>
        <w:t xml:space="preserve">Elle – kremy 40+: https://www.elle.pl/uroda/ranking-6-polecanych-polskich-kremow-do-pielegnacji-skory-40-kosztuja-od-14-do-249-zl/</w:t>
      </w:r>
    </w:p>
    <w:p>
      <w:pPr>
        <w:numPr>
          <w:ilvl w:val="0"/>
          <w:numId w:val="1017"/>
        </w:numPr>
        <w:pStyle w:val="Compact"/>
      </w:pPr>
      <w:r>
        <w:t xml:space="preserve">natu.care: https://natu.care/pl/kosmetyki/krem-do-twarzy</w:t>
      </w:r>
    </w:p>
    <w:p>
      <w:pPr>
        <w:numPr>
          <w:ilvl w:val="0"/>
          <w:numId w:val="1017"/>
        </w:numPr>
        <w:pStyle w:val="Compact"/>
      </w:pPr>
      <w:r>
        <w:t xml:space="preserve">puderikrem.pl: https://puderikrem.pl/Polskie-kosmetyki-naturalne-i-dermokosmetyki-ranking-TOP-18-marek-ktore-musisz-znac-blog-pol-1733397695.html</w:t>
      </w:r>
    </w:p>
    <w:p>
      <w:pPr>
        <w:numPr>
          <w:ilvl w:val="0"/>
          <w:numId w:val="1017"/>
        </w:numPr>
        <w:pStyle w:val="Compact"/>
      </w:pPr>
      <w:r>
        <w:t xml:space="preserve">perfumeria.pl: https://www.perfumeria.pl/collections/samarite</w:t>
      </w:r>
    </w:p>
    <w:p>
      <w:pPr>
        <w:numPr>
          <w:ilvl w:val="0"/>
          <w:numId w:val="1017"/>
        </w:numPr>
        <w:pStyle w:val="Compact"/>
      </w:pPr>
      <w:r>
        <w:t xml:space="preserve">Google, UOKiK, EUR-Lex, OpenAI, Perplexity — linki w odpowiednich sekcjach.</w:t>
      </w:r>
    </w:p>
    <w:bookmarkEnd w:id="51"/>
    <w:bookmarkStart w:id="52" w:name="zmiany-względem-wersji-1"/>
    <w:p>
      <w:pPr>
        <w:pStyle w:val="Heading1"/>
      </w:pPr>
      <w:r>
        <w:t xml:space="preserve">Zmiany względem wersji 1</w:t>
      </w:r>
    </w:p>
    <w:p>
      <w:pPr>
        <w:numPr>
          <w:ilvl w:val="0"/>
          <w:numId w:val="1018"/>
        </w:numPr>
      </w:pPr>
      <w:r>
        <w:t xml:space="preserve">Wersja 2.1: poprawione dane o filmach (3 pliki .mov i 1 .mp4 wśród największych; 19,4 MB wideo), wagi stron w MB (1024 KiB) oraz zakres zastępczej daty w mapie strony (56 z 320 adresów).</w:t>
      </w:r>
    </w:p>
    <w:p>
      <w:pPr>
        <w:numPr>
          <w:ilvl w:val="0"/>
          <w:numId w:val="1018"/>
        </w:numPr>
      </w:pPr>
      <w:r>
        <w:t xml:space="preserve">Wycofano zarzut „błędnej ceny Divine Cream” — cena w danych odpowiada wybranemu wariantowi (Grand 269,99 zł / 45 ml 149,99 zł). Pozostaje problem wspólnego adresu oferty dla wariantów.</w:t>
      </w:r>
    </w:p>
    <w:p>
      <w:pPr>
        <w:numPr>
          <w:ilvl w:val="0"/>
          <w:numId w:val="1018"/>
        </w:numPr>
      </w:pPr>
      <w:r>
        <w:t xml:space="preserve">„3 największe straty” → „najpoważniejsze znalezione problemy” (bez danych sprzedażowych nie da się ustalić strat).</w:t>
      </w:r>
    </w:p>
    <w:p>
      <w:pPr>
        <w:numPr>
          <w:ilvl w:val="0"/>
          <w:numId w:val="1018"/>
        </w:numPr>
      </w:pPr>
      <w:r>
        <w:t xml:space="preserve">Usunięto obietnicę „szybciej o kilkanaście sekund”; dodano diagnozę elementu LCP i zakaz leniwego ładowania elementu LCP.</w:t>
      </w:r>
    </w:p>
    <w:p>
      <w:pPr>
        <w:numPr>
          <w:ilvl w:val="0"/>
          <w:numId w:val="1018"/>
        </w:numPr>
      </w:pPr>
      <w:r>
        <w:t xml:space="preserve">Gwiazdki w Google — możliwość, nie gwarancja; GTIN — sprawdzić w Merchant Center, nie wymyślać.</w:t>
      </w:r>
    </w:p>
    <w:p>
      <w:pPr>
        <w:numPr>
          <w:ilvl w:val="0"/>
          <w:numId w:val="1018"/>
        </w:numPr>
      </w:pPr>
      <w:r>
        <w:t xml:space="preserve">Doprecyzowano kwestie prawne (porównanie zestawu vs obniżka; hiperbola vs twierdzenia o działaniu).</w:t>
      </w:r>
    </w:p>
    <w:p>
      <w:pPr>
        <w:numPr>
          <w:ilvl w:val="0"/>
          <w:numId w:val="1018"/>
        </w:numPr>
      </w:pPr>
      <w:r>
        <w:t xml:space="preserve">Wycofano wniosek, że dystrybutorzy „nie zabierają sprzedaży”.</w:t>
      </w:r>
    </w:p>
    <w:p>
      <w:pPr>
        <w:numPr>
          <w:ilvl w:val="0"/>
          <w:numId w:val="1018"/>
        </w:numPr>
      </w:pPr>
      <w:r>
        <w:t xml:space="preserve">Test botów AI opisany jako podszycie pod nazwę bota — wymaga potwierdzenia w logach.</w:t>
      </w:r>
    </w:p>
    <w:p>
      <w:pPr>
        <w:numPr>
          <w:ilvl w:val="0"/>
          <w:numId w:val="1018"/>
        </w:numPr>
      </w:pPr>
      <w:r>
        <w:t xml:space="preserve">Dodano: ścieżkę zakupu i dane sprzedażowe (pkt 1), politykę promocji i marżę (pkt 6), e-mail/SMS (pkt 7), przykłady „obecnie → propozycja” dla tytułów i opisów.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evelopers.google.com/search/blog/2024/02/product-variants" TargetMode="External" /><Relationship Type="http://schemas.openxmlformats.org/officeDocument/2006/relationships/hyperlink" Id="rId42" Target="https://developers.google.com/search/docs/appearance/ai-features" TargetMode="External" /><Relationship Type="http://schemas.openxmlformats.org/officeDocument/2006/relationships/hyperlink" Id="rId32" Target="https://developers.google.com/search/docs/appearance/structured-data/product" TargetMode="External" /><Relationship Type="http://schemas.openxmlformats.org/officeDocument/2006/relationships/hyperlink" Id="rId43" Target="https://developers.openai.com/api/docs/bots" TargetMode="External" /><Relationship Type="http://schemas.openxmlformats.org/officeDocument/2006/relationships/hyperlink" Id="rId44" Target="https://docs.perplexity.ai/docs/resources/perplexity-crawlers" TargetMode="External" /><Relationship Type="http://schemas.openxmlformats.org/officeDocument/2006/relationships/hyperlink" Id="rId37" Target="https://eur-lex.europa.eu/eli/reg/2013/655/oj/eng/pdf" TargetMode="External" /><Relationship Type="http://schemas.openxmlformats.org/officeDocument/2006/relationships/hyperlink" Id="rId24" Target="https://prawakonsumenta.uokik.gov.pl/prawo-do-informacji/informacje-o-obnizkach-cen/" TargetMode="External" /><Relationship Type="http://schemas.openxmlformats.org/officeDocument/2006/relationships/hyperlink" Id="rId30" Target="https://support.google.com/merchants/answer/6098512?hl=en" TargetMode="External" /><Relationship Type="http://schemas.openxmlformats.org/officeDocument/2006/relationships/hyperlink" Id="rId29" Target="https://support.google.com/merchants/answer/6324461?hl=en" TargetMode="External" /><Relationship Type="http://schemas.openxmlformats.org/officeDocument/2006/relationships/hyperlink" Id="rId27" Target="https://web.dev/articles/user-centric-performance-metrics" TargetMode="External" /><Relationship Type="http://schemas.openxmlformats.org/officeDocument/2006/relationships/hyperlink" Id="rId26" Target="https://web.dev/articles/vit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evelopers.google.com/search/blog/2024/02/product-variants" TargetMode="External" /><Relationship Type="http://schemas.openxmlformats.org/officeDocument/2006/relationships/hyperlink" Id="rId42" Target="https://developers.google.com/search/docs/appearance/ai-features" TargetMode="External" /><Relationship Type="http://schemas.openxmlformats.org/officeDocument/2006/relationships/hyperlink" Id="rId32" Target="https://developers.google.com/search/docs/appearance/structured-data/product" TargetMode="External" /><Relationship Type="http://schemas.openxmlformats.org/officeDocument/2006/relationships/hyperlink" Id="rId43" Target="https://developers.openai.com/api/docs/bots" TargetMode="External" /><Relationship Type="http://schemas.openxmlformats.org/officeDocument/2006/relationships/hyperlink" Id="rId44" Target="https://docs.perplexity.ai/docs/resources/perplexity-crawlers" TargetMode="External" /><Relationship Type="http://schemas.openxmlformats.org/officeDocument/2006/relationships/hyperlink" Id="rId37" Target="https://eur-lex.europa.eu/eli/reg/2013/655/oj/eng/pdf" TargetMode="External" /><Relationship Type="http://schemas.openxmlformats.org/officeDocument/2006/relationships/hyperlink" Id="rId24" Target="https://prawakonsumenta.uokik.gov.pl/prawo-do-informacji/informacje-o-obnizkach-cen/" TargetMode="External" /><Relationship Type="http://schemas.openxmlformats.org/officeDocument/2006/relationships/hyperlink" Id="rId30" Target="https://support.google.com/merchants/answer/6098512?hl=en" TargetMode="External" /><Relationship Type="http://schemas.openxmlformats.org/officeDocument/2006/relationships/hyperlink" Id="rId29" Target="https://support.google.com/merchants/answer/6324461?hl=en" TargetMode="External" /><Relationship Type="http://schemas.openxmlformats.org/officeDocument/2006/relationships/hyperlink" Id="rId27" Target="https://web.dev/articles/user-centric-performance-metrics" TargetMode="External" /><Relationship Type="http://schemas.openxmlformats.org/officeDocument/2006/relationships/hyperlink" Id="rId26" Target="https://web.dev/articles/vit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Audyt widoczności i sprzedaży — Samarité (samarite.eu)</dc:title>
  <dc:creator/>
  <cp:keywords/>
  <dcterms:created xsi:type="dcterms:W3CDTF">2026-10-24T09:15:00Z</dcterms:created>
  <dcterms:modified xsi:type="dcterms:W3CDTF">2026-10-24T09:15:00Z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23.10.2026</vt:lpwstr>
  </property>
  <property fmtid="{D5CDD505-2E9C-101B-9397-08002B2CF9AE}" pid="3" name="subtitle">
    <vt:lpwstr>Wersja 2 — po weryfikacji drugiej opinii</vt:lpwstr>
  </property>
  <property fmtid="{D5CDD505-2E9C-101B-9397-08002B2CF9AE}" pid="4" name="toc-title">
    <vt:lpwstr>Spis tre��ci</vt:lpwstr>
  </property>
</Properties>
</file>