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https://github.com/aspnet/AspNetCore/blob/master/LICENSE.txt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RNGs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Marsaglia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2003-07-04</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of Statistical Software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http://creativecommons.org/licenses/by/3.0/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https://www.jstatsoft.org/article/view/v008i14</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https://www.jstatsoft.org/index.php/jss/article/view/v008i14/xorshift.pdf</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(Wikipedia)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https://en.wikipedia.org/wiki/Xorshift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https://en.wikipedia.org/wiki/Wikipedia:Text_of_Creative_Commons_Attribution-ShareAlike_3.0_Unported_License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