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drawing>
          <wp:inline distT="0" distB="0" distL="0" distR="0">
            <wp:extent cx="2857500" cy="1581150"/>
            <wp:effectExtent t="0" r="0" b="0" l="0"/>
            <wp:docPr id="1" name="logo" descr="Logo NeoTravel" title="NeoTrav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400"/>
        <w:jc w:val="center"/>
      </w:pPr>
      <w:r>
        <w:rPr>
          <w:b/>
          <w:bCs/>
          <w:color w:val="0E7A66"/>
          <w:sz w:val="56"/>
          <w:szCs w:val="56"/>
        </w:rPr>
        <w:t xml:space="preserve">DOSSIER DE CADRAGE</w:t>
      </w:r>
    </w:p>
    <w:p>
      <w:pPr>
        <w:spacing w:after="60"/>
        <w:jc w:val="center"/>
      </w:pPr>
      <w:r>
        <w:rPr>
          <w:color w:val="333333"/>
          <w:sz w:val="30"/>
          <w:szCs w:val="30"/>
        </w:rPr>
        <w:t xml:space="preserve">Automatisation des processus commerciaux</w:t>
      </w:r>
    </w:p>
    <w:p>
      <w:pPr>
        <w:spacing w:after="400"/>
        <w:jc w:val="center"/>
      </w:pPr>
      <w:r>
        <w:rPr>
          <w:b/>
          <w:bCs/>
          <w:color w:val="0A5346"/>
          <w:sz w:val="28"/>
          <w:szCs w:val="28"/>
        </w:rPr>
        <w:t xml:space="preserve">NEO TRAVEL</w:t>
      </w:r>
    </w:p>
    <w:p>
      <w:pPr>
        <w:spacing w:after="40"/>
        <w:jc w:val="center"/>
      </w:pPr>
      <w:r>
        <w:rPr>
          <w:i/>
          <w:iCs/>
          <w:color w:val="666666"/>
          <w:sz w:val="24"/>
          <w:szCs w:val="24"/>
        </w:rPr>
        <w:t xml:space="preserve">Livrable 1 — Rendu du 24 juin 2026</w:t>
      </w:r>
    </w:p>
    <w:p>
      <w:pPr>
        <w:spacing w:after="40"/>
        <w:jc w:val="center"/>
      </w:pPr>
      <w:r>
        <w:rPr>
          <w:color w:val="666666"/>
          <w:sz w:val="22"/>
          <w:szCs w:val="22"/>
        </w:rPr>
        <w:t xml:space="preserve">Équipe projet : Axel MOMPER · Vincent CONTER · Zakaria TOUAMI</w:t>
      </w:r>
    </w:p>
    <w:p>
      <w:pPr>
        <w:jc w:val="center"/>
      </w:pPr>
      <w:r>
        <w:rPr>
          <w:color w:val="666666"/>
          <w:sz w:val="20"/>
          <w:szCs w:val="20"/>
        </w:rPr>
        <w:t xml:space="preserve">Cas d’étude MBA1 — NeoTravel · InterstellLabs</w:t>
      </w:r>
    </w:p>
    <w:p>
      <w:r>
        <w:br w:type="page"/>
      </w:r>
    </w:p>
    <w:p>
      <w:pPr>
        <w:spacing w:after="160"/>
      </w:pPr>
      <w:r>
        <w:rPr>
          <w:b/>
          <w:bCs/>
          <w:color w:val="0E7A66"/>
          <w:sz w:val="32"/>
          <w:szCs w:val="32"/>
        </w:rPr>
        <w:t xml:space="preserve">Table des matières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Contexte &amp; justification</w:t>
      </w:r>
    </w:p>
    <w:p>
      <w:pPr>
        <w:spacing w:after="120"/>
      </w:pPr>
      <w:r>
        <w:t xml:space="preserve">NeoTravel est une PME fondée en 2010, spécialisée dans le transport de personnes en groupe (particuliers, associations, collectivités, entreprises). Son modèle repose sur l’intermédiation : l’entreprise ne possède pas de flotte propre, mais orchestre la mise en relation entre les clients et un réseau d’autocaristes partenaires qualifiés. Sa valeur ajoutée réside dans sa capacité à comprendre un besoin, qualifier la demande, négocier les meilleures conditions et sécuriser la prestation.</w:t>
      </w:r>
    </w:p>
    <w:p>
      <w:pPr>
        <w:spacing w:after="120"/>
      </w:pPr>
      <w:r>
        <w:t xml:space="preserve">NeoTravel reçoit </w:t>
      </w:r>
      <w:r>
        <w:rPr>
          <w:b/>
          <w:bCs/>
        </w:rPr>
        <w:t xml:space="preserve">environ 60 leads par jour</w:t>
      </w:r>
      <w:r>
        <w:t xml:space="preserve"> via son site et ses campagnes. L’acquisition n’est donc pas le problème : l’enjeu est la </w:t>
      </w:r>
      <w:r>
        <w:rPr>
          <w:b/>
          <w:bCs/>
        </w:rPr>
        <w:t xml:space="preserve">sous-exploitation du flux existant</w:t>
      </w:r>
      <w:r>
        <w:t xml:space="preserve">. Le traitement manuel crée un goulot d’étranglement structurel.</w:t>
      </w:r>
    </w:p>
    <w:p>
      <w:pPr>
        <w:pStyle w:val="Heading2"/>
      </w:pPr>
      <w:r>
        <w:t xml:space="preserve">Les frictions identifiées</w:t>
      </w:r>
    </w:p>
    <w:p>
      <w:pPr>
        <w:spacing w:after="120"/>
      </w:pPr>
      <w:r>
        <w:rPr>
          <w:b/>
          <w:bCs/>
          <w:color w:val="0A5346"/>
        </w:rPr>
        <w:t xml:space="preserve">Friction 1 — Priorisation commerciale. </w:t>
      </w:r>
      <w:r>
        <w:t xml:space="preserve">Les commerciaux étant commissionnés, ils priorisent naturellement les demandes à fort potentiel. Des leads acquis via des campagnes payantes (Google Ads) sont donc peu ou pas recontactés, ce qui représente un manque à gagner direct et des investissements publicitaires gaspillés.</w:t>
      </w:r>
    </w:p>
    <w:p>
      <w:pPr>
        <w:spacing w:after="120"/>
      </w:pPr>
      <w:r>
        <w:rPr>
          <w:b/>
          <w:bCs/>
          <w:color w:val="0A5346"/>
        </w:rPr>
        <w:t xml:space="preserve">Friction 2 — Acquisition bridée. </w:t>
      </w:r>
      <w:r>
        <w:t xml:space="preserve">NeoTravel limite volontairement ses campagnes : sans automatisation, plus de leads signifie surtout plus de pression opérationnelle, pas plus de chiffre d’affaires.</w:t>
      </w:r>
    </w:p>
    <w:p>
      <w:pPr>
        <w:pBdr>
          <w:left w:val="single" w:color="0E7A66" w:sz="18" w:space="8"/>
        </w:pBdr>
        <w:shd w:fill="F2F8F6" w:val="clear"/>
        <w:spacing w:after="160" w:before="80"/>
      </w:pPr>
      <w:r>
        <w:rPr>
          <w:b/>
          <w:bCs/>
          <w:color w:val="0A5346"/>
        </w:rPr>
        <w:t xml:space="preserve">Enjeu : </w:t>
      </w:r>
      <w:r>
        <w:t xml:space="preserve">mieux exploiter le flux existant — traiter chaque opportunité avec méthode, accélérer les réponses, automatiser les relances, et libérer les commerciaux pour les tâches à forte valeur humaine (conseil, négociation, cas complexes).</w:t>
      </w:r>
    </w:p>
    <w:p>
      <w:pPr>
        <w:pStyle w:val="Heading1"/>
      </w:pPr>
      <w:r>
        <w:t xml:space="preserve">2. Objectif du projet</w:t>
      </w:r>
    </w:p>
    <w:p>
      <w:pPr>
        <w:spacing w:after="120"/>
      </w:pPr>
      <w:r>
        <w:t xml:space="preserve">Concevoir et livrer un prototype cohérent qui </w:t>
      </w:r>
      <w:r>
        <w:rPr>
          <w:b/>
          <w:bCs/>
        </w:rPr>
        <w:t xml:space="preserve">automatise l’ensemble du cycle commercial</w:t>
      </w:r>
      <w:r>
        <w:t xml:space="preserve"> de NeoTravel, de la captation du lead jusqu’au dashboard de pilotage, </w:t>
      </w:r>
      <w:r>
        <w:rPr>
          <w:b/>
          <w:bCs/>
        </w:rPr>
        <w:t xml:space="preserve">sans déshumaniser</w:t>
      </w:r>
      <w:r>
        <w:t xml:space="preserve"> la relation client. L’automatisation prend en charge les tâches répétitives et fiabilise les processus ; l’humain reste au cœur des situations complexes.</w:t>
      </w:r>
    </w:p>
    <w:p>
      <w:pPr>
        <w:spacing w:after="120"/>
      </w:pPr>
      <w:r>
        <w:t xml:space="preserve">L’outil est pensé comme un </w:t>
      </w:r>
      <w:r>
        <w:rPr>
          <w:b/>
          <w:bCs/>
        </w:rPr>
        <w:t xml:space="preserve">copilote</w:t>
      </w:r>
      <w:r>
        <w:t xml:space="preserve"> : un facilitateur de décision et un gain de temps sur les tâches répétitives. Il prépare et propose ; le commercial garde la main sur le conseil, la négociation et l’engagement.</w:t>
      </w:r>
    </w:p>
    <w:p>
      <w:pPr>
        <w:spacing w:after="120"/>
      </w:pPr>
      <w:r>
        <w:rPr>
          <w:b/>
          <w:bCs/>
        </w:rPr>
        <w:t xml:space="preserve">Principe directeur : </w:t>
      </w:r>
      <w:r>
        <w:t xml:space="preserve">l’IA décide et oriente, le code exécute. Le prix d’un devis — engagement commercial — est </w:t>
      </w:r>
      <w:r>
        <w:rPr>
          <w:b/>
          <w:bCs/>
          <w:color w:val="0A5346"/>
        </w:rPr>
        <w:t xml:space="preserve">toujours calculé par un moteur de règles déterministe</w:t>
      </w:r>
      <w:r>
        <w:t xml:space="preserve">, jamais par le raisonnement du modèle de langage.</w:t>
      </w:r>
    </w:p>
    <w:p>
      <w:pPr>
        <w:pStyle w:val="Heading1"/>
      </w:pPr>
      <w:r>
        <w:t xml:space="preserve">3. Diagnostic &amp; priorisation</w:t>
      </w:r>
    </w:p>
    <w:p>
      <w:pPr>
        <w:spacing w:after="120"/>
      </w:pPr>
      <w:r>
        <w:t xml:space="preserve">Évaluation des problèmes (échelle 1 à 5) puis des solutions, pour positionner le MVP sur ce qui crée le plus de valeur dans le temps imparti.</w:t>
      </w:r>
    </w:p>
    <w:p>
      <w:pPr>
        <w:pStyle w:val="Heading2"/>
      </w:pPr>
      <w:r>
        <w:t xml:space="preserve">3.1 Matrice de priorisation des problèmes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860"/>
        <w:gridCol w:w="1100"/>
        <w:gridCol w:w="1300"/>
        <w:gridCol w:w="1100"/>
        <w:gridCol w:w="1300"/>
        <w:gridCol w:w="1700"/>
      </w:tblGrid>
      <w:tr>
        <w:trPr>
          <w:tblHeader/>
        </w:trPr>
        <w:tc>
          <w:tcPr>
            <w:tcW w:type="dxa" w:w="286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Problème</w:t>
            </w:r>
          </w:p>
        </w:tc>
        <w:tc>
          <w:tcPr>
            <w:tcW w:type="dxa" w:w="110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Impact CA</w:t>
            </w:r>
          </w:p>
        </w:tc>
        <w:tc>
          <w:tcPr>
            <w:tcW w:type="dxa" w:w="130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Impact client</w:t>
            </w:r>
          </w:p>
        </w:tc>
        <w:tc>
          <w:tcPr>
            <w:tcW w:type="dxa" w:w="110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Urgence</w:t>
            </w:r>
          </w:p>
        </w:tc>
        <w:tc>
          <w:tcPr>
            <w:tcW w:type="dxa" w:w="130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Complexité</w:t>
            </w:r>
          </w:p>
        </w:tc>
        <w:tc>
          <w:tcPr>
            <w:tcW w:type="dxa" w:w="170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Priorité</w:t>
            </w:r>
          </w:p>
        </w:tc>
      </w:tr>
      <w:tr>
        <w:tc>
          <w:tcPr>
            <w:tcW w:type="dxa" w:w="28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Leads payants non recontactés</w:t>
            </w:r>
          </w:p>
        </w:tc>
        <w:tc>
          <w:tcPr>
            <w:tcW w:type="dxa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P1</w:t>
            </w:r>
          </w:p>
        </w:tc>
      </w:tr>
      <w:tr>
        <w:tc>
          <w:tcPr>
            <w:tcW w:type="dxa" w:w="28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Délais de réponse / devis lents</w:t>
            </w:r>
          </w:p>
        </w:tc>
        <w:tc>
          <w:tcPr>
            <w:tcW w:type="dxa" w:w="11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13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11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13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17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P1</w:t>
            </w:r>
          </w:p>
        </w:tc>
      </w:tr>
      <w:tr>
        <w:tc>
          <w:tcPr>
            <w:tcW w:type="dxa" w:w="28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Relances manuelles oubliées</w:t>
            </w:r>
          </w:p>
        </w:tc>
        <w:tc>
          <w:tcPr>
            <w:tcW w:type="dxa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P1</w:t>
            </w:r>
          </w:p>
        </w:tc>
      </w:tr>
      <w:tr>
        <w:tc>
          <w:tcPr>
            <w:tcW w:type="dxa" w:w="28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Tarification manuelle (lente, erreurs)</w:t>
            </w:r>
          </w:p>
        </w:tc>
        <w:tc>
          <w:tcPr>
            <w:tcW w:type="dxa" w:w="11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13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11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13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17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P2</w:t>
            </w:r>
          </w:p>
        </w:tc>
      </w:tr>
      <w:tr>
        <w:tc>
          <w:tcPr>
            <w:tcW w:type="dxa" w:w="28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Manque de visibilité direction</w:t>
            </w:r>
          </w:p>
        </w:tc>
        <w:tc>
          <w:tcPr>
            <w:tcW w:type="dxa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P2</w:t>
            </w:r>
          </w:p>
        </w:tc>
      </w:tr>
      <w:tr>
        <w:tc>
          <w:tcPr>
            <w:tcW w:type="dxa" w:w="28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Acquisition bridée par la charge</w:t>
            </w:r>
          </w:p>
        </w:tc>
        <w:tc>
          <w:tcPr>
            <w:tcW w:type="dxa" w:w="11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13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11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13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17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P3</w:t>
            </w:r>
          </w:p>
        </w:tc>
      </w:tr>
      <w:tr>
        <w:tc>
          <w:tcPr>
            <w:tcW w:type="dxa" w:w="28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Cas complexes mal tracés</w:t>
            </w:r>
          </w:p>
        </w:tc>
        <w:tc>
          <w:tcPr>
            <w:tcW w:type="dxa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P3</w:t>
            </w:r>
          </w:p>
        </w:tc>
      </w:tr>
    </w:tbl>
    <w:p>
      <w:pPr>
        <w:spacing w:after="120"/>
      </w:pPr>
      <w:r>
        <w:rPr>
          <w:i/>
          <w:iCs/>
        </w:rPr>
        <w:t xml:space="preserve">Lecture : </w:t>
      </w:r>
      <w:r>
        <w:rPr>
          <w:i/>
          <w:iCs/>
          <w:color w:val="666666"/>
        </w:rPr>
        <w:t xml:space="preserve">plus l’impact (CA/client/urgence) est fort et la complexité faible, plus la priorité est haute. Les trois problèmes P1 forment le cœur du MVP.</w:t>
      </w:r>
    </w:p>
    <w:p>
      <w:pPr>
        <w:pStyle w:val="Heading2"/>
      </w:pPr>
      <w:r>
        <w:t xml:space="preserve">3.2 Matrice de priorisation des solutions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460"/>
        <w:gridCol w:w="1300"/>
        <w:gridCol w:w="1300"/>
        <w:gridCol w:w="1100"/>
        <w:gridCol w:w="1100"/>
        <w:gridCol w:w="1100"/>
      </w:tblGrid>
      <w:tr>
        <w:trPr>
          <w:tblHeader/>
        </w:trPr>
        <w:tc>
          <w:tcPr>
            <w:tcW w:type="dxa" w:w="346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Solution</w:t>
            </w:r>
          </w:p>
        </w:tc>
        <w:tc>
          <w:tcPr>
            <w:tcW w:type="dxa" w:w="130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Valeur métier</w:t>
            </w:r>
          </w:p>
        </w:tc>
        <w:tc>
          <w:tcPr>
            <w:tcW w:type="dxa" w:w="130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Faisabilité</w:t>
            </w:r>
          </w:p>
        </w:tc>
        <w:tc>
          <w:tcPr>
            <w:tcW w:type="dxa" w:w="110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Coût</w:t>
            </w:r>
          </w:p>
        </w:tc>
        <w:tc>
          <w:tcPr>
            <w:tcW w:type="dxa" w:w="110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Délai</w:t>
            </w:r>
          </w:p>
        </w:tc>
        <w:tc>
          <w:tcPr>
            <w:tcW w:type="dxa" w:w="110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Priorité</w:t>
            </w:r>
          </w:p>
        </w:tc>
      </w:tr>
      <w:tr>
        <w:tc>
          <w:tcPr>
            <w:tcW w:type="dxa" w:w="34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Moteur de devis déterministe calculer_devis()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Faible</w:t>
            </w:r>
          </w:p>
        </w:tc>
        <w:tc>
          <w:tcPr>
            <w:tcW w:type="dxa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Court</w:t>
            </w:r>
          </w:p>
        </w:tc>
        <w:tc>
          <w:tcPr>
            <w:tcW w:type="dxa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P1</w:t>
            </w:r>
          </w:p>
        </w:tc>
      </w:tr>
      <w:tr>
        <w:tc>
          <w:tcPr>
            <w:tcW w:type="dxa" w:w="34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Centralisation CRM (base structurée)</w:t>
            </w:r>
          </w:p>
        </w:tc>
        <w:tc>
          <w:tcPr>
            <w:tcW w:type="dxa" w:w="13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13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11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Faible</w:t>
            </w:r>
          </w:p>
        </w:tc>
        <w:tc>
          <w:tcPr>
            <w:tcW w:type="dxa" w:w="11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Court</w:t>
            </w:r>
          </w:p>
        </w:tc>
        <w:tc>
          <w:tcPr>
            <w:tcW w:type="dxa" w:w="11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P1</w:t>
            </w:r>
          </w:p>
        </w:tc>
      </w:tr>
      <w:tr>
        <w:tc>
          <w:tcPr>
            <w:tcW w:type="dxa" w:w="34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Relances automatisées (n8n)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Faible</w:t>
            </w:r>
          </w:p>
        </w:tc>
        <w:tc>
          <w:tcPr>
            <w:tcW w:type="dxa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Court</w:t>
            </w:r>
          </w:p>
        </w:tc>
        <w:tc>
          <w:tcPr>
            <w:tcW w:type="dxa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P1</w:t>
            </w:r>
          </w:p>
        </w:tc>
      </w:tr>
      <w:tr>
        <w:tc>
          <w:tcPr>
            <w:tcW w:type="dxa" w:w="34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Escalade humaine (HITL)</w:t>
            </w:r>
          </w:p>
        </w:tc>
        <w:tc>
          <w:tcPr>
            <w:tcW w:type="dxa" w:w="13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13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11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Faible</w:t>
            </w:r>
          </w:p>
        </w:tc>
        <w:tc>
          <w:tcPr>
            <w:tcW w:type="dxa" w:w="11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Court</w:t>
            </w:r>
          </w:p>
        </w:tc>
        <w:tc>
          <w:tcPr>
            <w:tcW w:type="dxa" w:w="11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P1</w:t>
            </w:r>
          </w:p>
        </w:tc>
      </w:tr>
      <w:tr>
        <w:tc>
          <w:tcPr>
            <w:tcW w:type="dxa" w:w="34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Agent IA de qualification (landing/chat)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Moyen</w:t>
            </w:r>
          </w:p>
        </w:tc>
        <w:tc>
          <w:tcPr>
            <w:tcW w:type="dxa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Moyen</w:t>
            </w:r>
          </w:p>
        </w:tc>
        <w:tc>
          <w:tcPr>
            <w:tcW w:type="dxa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P2</w:t>
            </w:r>
          </w:p>
        </w:tc>
      </w:tr>
      <w:tr>
        <w:tc>
          <w:tcPr>
            <w:tcW w:type="dxa" w:w="34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Génération automatique du devis PDF</w:t>
            </w:r>
          </w:p>
        </w:tc>
        <w:tc>
          <w:tcPr>
            <w:tcW w:type="dxa" w:w="13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13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11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Faible</w:t>
            </w:r>
          </w:p>
        </w:tc>
        <w:tc>
          <w:tcPr>
            <w:tcW w:type="dxa" w:w="11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Court</w:t>
            </w:r>
          </w:p>
        </w:tc>
        <w:tc>
          <w:tcPr>
            <w:tcW w:type="dxa" w:w="11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P2</w:t>
            </w:r>
          </w:p>
        </w:tc>
      </w:tr>
      <w:tr>
        <w:tc>
          <w:tcPr>
            <w:tcW w:type="dxa" w:w="34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Dashboard de pilotage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Faible</w:t>
            </w:r>
          </w:p>
        </w:tc>
        <w:tc>
          <w:tcPr>
            <w:tcW w:type="dxa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Moyen</w:t>
            </w:r>
          </w:p>
        </w:tc>
        <w:tc>
          <w:tcPr>
            <w:tcW w:type="dxa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P2</w:t>
            </w:r>
          </w:p>
        </w:tc>
      </w:tr>
    </w:tbl>
    <w:p>
      <w:pPr>
        <w:pStyle w:val="Heading1"/>
      </w:pPr>
      <w:r>
        <w:t xml:space="preserve">4. Cartographie As-Is / To-Be</w:t>
      </w:r>
    </w:p>
    <w:p>
      <w:pPr>
        <w:pStyle w:val="Heading2"/>
      </w:pPr>
      <w:r>
        <w:t xml:space="preserve">4.1 Processus actuel (As-Is) — majoritairement manuel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700"/>
        <w:gridCol w:w="3500"/>
        <w:gridCol w:w="4160"/>
      </w:tblGrid>
      <w:tr>
        <w:trPr>
          <w:tblHeader/>
        </w:trPr>
        <w:tc>
          <w:tcPr>
            <w:tcW w:type="dxa" w:w="170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Étape</w:t>
            </w:r>
          </w:p>
        </w:tc>
        <w:tc>
          <w:tcPr>
            <w:tcW w:type="dxa" w:w="350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Aujourd’hui</w:t>
            </w:r>
          </w:p>
        </w:tc>
        <w:tc>
          <w:tcPr>
            <w:tcW w:type="dxa" w:w="416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Point de douleur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1. Demande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Formulaire web</w:t>
            </w:r>
          </w:p>
        </w:tc>
        <w:tc>
          <w:tcPr>
            <w:tcW w:type="dxa" w:w="4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Données partielles, non qualifiées</w:t>
            </w:r>
          </w:p>
        </w:tc>
      </w:tr>
      <w:tr>
        <w:tc>
          <w:tcPr>
            <w:tcW w:type="dxa" w:w="17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2. Qualification</w:t>
            </w:r>
          </w:p>
        </w:tc>
        <w:tc>
          <w:tcPr>
            <w:tcW w:type="dxa" w:w="35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Lecture par un commercial</w:t>
            </w:r>
          </w:p>
        </w:tc>
        <w:tc>
          <w:tcPr>
            <w:tcW w:type="dxa" w:w="41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Chronophage, dépend de la disponibilité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3. Tarification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Grille appliquée à la main</w:t>
            </w:r>
          </w:p>
        </w:tc>
        <w:tc>
          <w:tcPr>
            <w:tcW w:type="dxa" w:w="4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Lent, risque d’erreur, non auditable</w:t>
            </w:r>
          </w:p>
        </w:tc>
      </w:tr>
      <w:tr>
        <w:tc>
          <w:tcPr>
            <w:tcW w:type="dxa" w:w="17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4. Devis</w:t>
            </w:r>
          </w:p>
        </w:tc>
        <w:tc>
          <w:tcPr>
            <w:tcW w:type="dxa" w:w="35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Rédigé manuellement</w:t>
            </w:r>
          </w:p>
        </w:tc>
        <w:tc>
          <w:tcPr>
            <w:tcW w:type="dxa" w:w="41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Délai, format hétérogène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5. Envoi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Email manuel</w:t>
            </w:r>
          </w:p>
        </w:tc>
        <w:tc>
          <w:tcPr>
            <w:tcW w:type="dxa" w:w="4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Retard à l’envoi</w:t>
            </w:r>
          </w:p>
        </w:tc>
      </w:tr>
      <w:tr>
        <w:tc>
          <w:tcPr>
            <w:tcW w:type="dxa" w:w="17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6. Relances</w:t>
            </w:r>
          </w:p>
        </w:tc>
        <w:tc>
          <w:tcPr>
            <w:tcW w:type="dxa" w:w="35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Selon disponibilité</w:t>
            </w:r>
          </w:p>
        </w:tc>
        <w:tc>
          <w:tcPr>
            <w:tcW w:type="dxa" w:w="41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Souvent oubliées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7. Suivi/pilotage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Aucun outil consolidé</w:t>
            </w:r>
          </w:p>
        </w:tc>
        <w:tc>
          <w:tcPr>
            <w:tcW w:type="dxa" w:w="4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Direction sans visibilité</w:t>
            </w:r>
          </w:p>
        </w:tc>
      </w:tr>
    </w:tbl>
    <w:p>
      <w:pPr>
        <w:pStyle w:val="Heading2"/>
      </w:pPr>
      <w:r>
        <w:t xml:space="preserve">4.2 Processus cible (To-Be) — automatisé ET supervisé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400"/>
        <w:gridCol w:w="4260"/>
        <w:gridCol w:w="3700"/>
      </w:tblGrid>
      <w:tr>
        <w:trPr>
          <w:tblHeader/>
        </w:trPr>
        <w:tc>
          <w:tcPr>
            <w:tcW w:type="dxa" w:w="140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Étape</w:t>
            </w:r>
          </w:p>
        </w:tc>
        <w:tc>
          <w:tcPr>
            <w:tcW w:type="dxa" w:w="426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Automatisé</w:t>
            </w:r>
          </w:p>
        </w:tc>
        <w:tc>
          <w:tcPr>
            <w:tcW w:type="dxa" w:w="370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Intervention / supervision humaine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1. Captation</w:t>
            </w:r>
          </w:p>
        </w:tc>
        <w:tc>
          <w:tcPr>
            <w:tcW w:type="dxa" w:w="42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Landing conversationnelle : le prospect exprime son besoin en langage naturel</w:t>
            </w:r>
          </w:p>
        </w:tc>
        <w:tc>
          <w:tcPr>
            <w:tcW w:type="dxa" w:w="3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Bascule vers un conseiller si le prospect le demande</w:t>
            </w:r>
          </w:p>
        </w:tc>
      </w:tr>
      <w:tr>
        <w:tc>
          <w:tcPr>
            <w:tcW w:type="dxa" w:w="14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2. Qualification</w:t>
            </w:r>
          </w:p>
        </w:tc>
        <w:tc>
          <w:tcPr>
            <w:tcW w:type="dxa" w:w="42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L’agent structure la demande et détecte les champs manquants</w:t>
            </w:r>
          </w:p>
        </w:tc>
        <w:tc>
          <w:tcPr>
            <w:tcW w:type="dxa" w:w="37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Revue humaine des demandes ambiguës ou atypiques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3. Tarification</w:t>
            </w:r>
          </w:p>
        </w:tc>
        <w:tc>
          <w:tcPr>
            <w:tcW w:type="dxa" w:w="42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Tool déterministe calculer_devis() — prix exact et auditable</w:t>
            </w:r>
          </w:p>
        </w:tc>
        <w:tc>
          <w:tcPr>
            <w:tcW w:type="dxa" w:w="3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Validation des devis hors seuils (montant élevé, trajet atypique, &gt; 55 pax)</w:t>
            </w:r>
          </w:p>
        </w:tc>
      </w:tr>
      <w:tr>
        <w:tc>
          <w:tcPr>
            <w:tcW w:type="dxa" w:w="14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4. Devis</w:t>
            </w:r>
          </w:p>
        </w:tc>
        <w:tc>
          <w:tcPr>
            <w:tcW w:type="dxa" w:w="42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Génération automatique d’un PDF formaté</w:t>
            </w:r>
          </w:p>
        </w:tc>
        <w:tc>
          <w:tcPr>
            <w:tcW w:type="dxa" w:w="37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Relecture avant envoi pour les cas sensibles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5. Envoi</w:t>
            </w:r>
          </w:p>
        </w:tc>
        <w:tc>
          <w:tcPr>
            <w:tcW w:type="dxa" w:w="42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Envoi (ou simulation) par email pour les devis standard</w:t>
            </w:r>
          </w:p>
        </w:tc>
        <w:tc>
          <w:tcPr>
            <w:tcW w:type="dxa" w:w="3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Validé par un commercial pour les offres engageantes</w:t>
            </w:r>
          </w:p>
        </w:tc>
      </w:tr>
      <w:tr>
        <w:tc>
          <w:tcPr>
            <w:tcW w:type="dxa" w:w="14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6. Relances</w:t>
            </w:r>
          </w:p>
        </w:tc>
        <w:tc>
          <w:tcPr>
            <w:tcW w:type="dxa" w:w="42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Séquences automatiques : J+2 / J+3 / J+7, max 2</w:t>
            </w:r>
          </w:p>
        </w:tc>
        <w:tc>
          <w:tcPr>
            <w:tcW w:type="dxa" w:w="37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Le commercial reprend la main sur les leads chauds (relation, négociation)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7. Pilotage</w:t>
            </w:r>
          </w:p>
        </w:tc>
        <w:tc>
          <w:tcPr>
            <w:tcW w:type="dxa" w:w="42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CRM à jour + dashboard direction avec alertes</w:t>
            </w:r>
          </w:p>
        </w:tc>
        <w:tc>
          <w:tcPr>
            <w:tcW w:type="dxa" w:w="3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La direction décide et arbitre ; cas complexes escaladés avec contexte</w:t>
            </w:r>
          </w:p>
        </w:tc>
      </w:tr>
    </w:tbl>
    <w:p>
      <w:pPr>
        <w:pBdr>
          <w:left w:val="single" w:color="0E7A66" w:sz="18" w:space="8"/>
        </w:pBdr>
        <w:shd w:fill="F2F8F6" w:val="clear"/>
        <w:spacing w:after="160" w:before="80"/>
      </w:pPr>
      <w:r>
        <w:rPr>
          <w:b/>
          <w:bCs/>
          <w:color w:val="0A5346"/>
        </w:rPr>
        <w:t xml:space="preserve">Digitaliser sans déshumaniser : </w:t>
      </w:r>
      <w:r>
        <w:t xml:space="preserve">l’outil est un facilitateur de décision et un gain de temps sur les tâches répétitives — pas un pilote automatique. L’agent prépare la décision ; l’humain décide, négocie et engage NeoTravel. À chaque étape sensible, un humain garde la main.</w:t>
      </w:r>
    </w:p>
    <w:p>
      <w:pPr>
        <w:pStyle w:val="Heading2"/>
      </w:pPr>
      <w:r>
        <w:t xml:space="preserve">4.3 La place de l’humain</w:t>
      </w:r>
    </w:p>
    <w:p>
      <w:pPr>
        <w:spacing w:after="120"/>
      </w:pPr>
      <w:r>
        <w:t xml:space="preserve">L’automatisation libère du temps sur le répétitif pour le réinvestir là où l’humain crée le plus de valeur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Conseil et expertise sur les demandes complexes ou atypiques.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Négociation et sécurisation des gros dossiers à fort enjeu.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Validation des engagements commerciaux (devis hors seuils, offres sensibles).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Relation client : reprise des leads chauds, gestion des imprévus.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Arbitrages et décisions de pilotage côté direction.</w:t>
      </w:r>
    </w:p>
    <w:p>
      <w:pPr>
        <w:spacing w:after="120"/>
      </w:pPr>
      <w:r>
        <w:t xml:space="preserve">Le commercial reste le </w:t>
      </w:r>
      <w:r>
        <w:rPr>
          <w:b/>
          <w:bCs/>
        </w:rPr>
        <w:t xml:space="preserve">décideur</w:t>
      </w:r>
      <w:r>
        <w:t xml:space="preserve"> ; l’agent et les outils sont ses </w:t>
      </w:r>
      <w:r>
        <w:rPr>
          <w:b/>
          <w:bCs/>
        </w:rPr>
        <w:t xml:space="preserve">copilotes</w:t>
      </w:r>
      <w:r>
        <w:t xml:space="preserve">.</w:t>
      </w:r>
    </w:p>
    <w:p>
      <w:pPr>
        <w:pStyle w:val="Heading1"/>
      </w:pPr>
      <w:r>
        <w:t xml:space="preserve">5. Périmètre</w:t>
      </w:r>
    </w:p>
    <w:p>
      <w:pPr>
        <w:spacing w:after="120"/>
      </w:pPr>
      <w:r>
        <w:t xml:space="preserve">Le livrable est un prototype cohérent qui démontre toute la chaîne, pas une application prête pour la production. La cohérence du parcours prime sur la perfection d’un maillon.</w:t>
      </w:r>
    </w:p>
    <w:p>
      <w:pPr>
        <w:pStyle w:val="Heading2"/>
      </w:pPr>
      <w:r>
        <w:t xml:space="preserve">Inclus (les 10 fonctions attendues)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Captation d’un lead / demande client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Centralisation automatique dans un outil de suivi commercial (CRM)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Qualification de la demande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Détection des informations manquantes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Calcul automatique d’un devis (moteur déterministe)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Génération d’un devis / proposition (PDF)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Envoi (ou simulation d’envoi) du devis au client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Système de relances client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Suivi du pipeline commercial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Reporting des indicateurs commerciaux (dashboard)</w:t>
      </w:r>
    </w:p>
    <w:p>
      <w:pPr>
        <w:pStyle w:val="Heading2"/>
      </w:pPr>
      <w:r>
        <w:t xml:space="preserve">Exclu (hors périmètre de la semaine)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Application prête pour la production / robustesse industrielle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Gestion exhaustive de tous les cas limites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Interface parfaitement designée (wireframes « rough » suffisent)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CRM analytique complet (une vue/dashboard simple suffit)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WhatsApp officiel (coût + vérification Meta) — email par défaut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Paiement, réservation partenaire et coordination logistique aval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Données personnelles réelles (fictives/minimales uniquement)</w:t>
      </w:r>
    </w:p>
    <w:p>
      <w:pPr>
        <w:pBdr>
          <w:left w:val="single" w:color="0E7A66" w:sz="18" w:space="8"/>
        </w:pBdr>
        <w:shd w:fill="F2F8F6" w:val="clear"/>
        <w:spacing w:after="160" w:before="80"/>
      </w:pPr>
      <w:r>
        <w:rPr>
          <w:b/>
          <w:bCs/>
          <w:color w:val="0A5346"/>
        </w:rPr>
        <w:t xml:space="preserve">Différenciateur (bonus, hors cœur MVP) : </w:t>
      </w:r>
      <w:r>
        <w:t xml:space="preserve">espace de connexion lead (/espace-client) permettant au prospect de suivre ses devis et son historique de conversation — gardé léger, avec vigilance RGPD.</w:t>
      </w:r>
    </w:p>
    <w:p>
      <w:pPr>
        <w:pStyle w:val="Heading1"/>
      </w:pPr>
      <w:r>
        <w:t xml:space="preserve">6. Architecture cible &amp; modèle de données</w:t>
      </w:r>
    </w:p>
    <w:p>
      <w:pPr>
        <w:spacing w:after="120"/>
      </w:pPr>
      <w:r>
        <w:rPr>
          <w:b/>
          <w:bCs/>
        </w:rPr>
        <w:t xml:space="preserve">Architecture retenue (Option A hybride — n8n au cœur) : </w:t>
      </w:r>
      <w:r>
        <w:t xml:space="preserve">une landing web + chatbot transmet la demande à un agent IA orchestré dans n8n. L’agent mène la conversation puis appelle des outils pour agir ; le calcul du prix est délégué à un nœud Code déterministe. Le cerveau de l’agent reste dans n8n — l’application Next.js n’est qu’UI + accès aux données.</w:t>
      </w:r>
    </w:p>
    <w:p>
      <w:pPr>
        <w:shd w:fill="F4F4F4" w:val="clear"/>
        <w:spacing w:after="60" w:before="80"/>
      </w:pPr>
      <w:r>
        <w:rPr>
          <w:rFonts w:ascii="Consolas" w:cs="Consolas" w:eastAsia="Consolas" w:hAnsi="Consolas"/>
          <w:sz w:val="18"/>
          <w:szCs w:val="18"/>
        </w:rPr>
        <w:t xml:space="preserve">App Next.js : /  (landing + chat)   ·   /admin  (dashboard)   ·   /espace-client  (portail lead)</w:t>
      </w:r>
    </w:p>
    <w:p>
      <w:pPr>
        <w:shd w:fill="F4F4F4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Chat → Agent IA (n8n) → [ lookup règles · calculer_devis() · devis PDF · écriture Supabase · relances ] → Supabase (Postgres + Auth + RLS)</w:t>
      </w:r>
    </w:p>
    <w:p>
      <w:pPr>
        <w:spacing w:after="120"/>
      </w:pPr>
      <w:r>
        <w:rPr>
          <w:b/>
          <w:bCs/>
        </w:rPr>
        <w:t xml:space="preserve">Socle de données : </w:t>
      </w:r>
      <w:r>
        <w:t xml:space="preserve">Supabase (PostgreSQL managé) avec Auth et Row Level Security. Le dashboard de pilotage est une page /admin de l’app Next.js qui lit Supabase (mise à jour temps réel via realtime). Relances et notifications via n8n (Schedule Trigger + email Resend/Brevo).</w:t>
      </w:r>
    </w:p>
    <w:p>
      <w:pPr>
        <w:pStyle w:val="Heading2"/>
      </w:pPr>
      <w:r>
        <w:t xml:space="preserve">Modèle de données (tables Supabase / PostgreSQL)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Table</w:t>
            </w:r>
          </w:p>
        </w:tc>
        <w:tc>
          <w:tcPr>
            <w:tcW w:type="dxa" w:w="766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Champs principaux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clients</w:t>
            </w:r>
          </w:p>
        </w:tc>
        <w:tc>
          <w:tcPr>
            <w:tcW w:type="dxa" w:w="76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id, email, type_client, nom/société, téléphone, consentement, créé_le — lié à Supabase Auth</w:t>
            </w:r>
          </w:p>
        </w:tc>
      </w:tr>
      <w:tr>
        <w:tc>
          <w:tcPr>
            <w:tcW w:type="dxa" w:w="17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demandes</w:t>
            </w:r>
          </w:p>
        </w:tc>
        <w:tc>
          <w:tcPr>
            <w:tcW w:type="dxa" w:w="76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id, client_id (FK), départ, destination, date_départ/retour, nb_passagers, type_trajet, urgence, distance_km, statut, score_complétude, commentaire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matrices</w:t>
            </w:r>
          </w:p>
        </w:tc>
        <w:tc>
          <w:tcPr>
            <w:tcW w:type="dxa" w:w="76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grille km, coef saison, coef date, coef capacité, options, TVA, marge — paramètres pilotables</w:t>
            </w:r>
          </w:p>
        </w:tc>
      </w:tr>
      <w:tr>
        <w:tc>
          <w:tcPr>
            <w:tcW w:type="dxa" w:w="17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devis</w:t>
            </w:r>
          </w:p>
        </w:tc>
        <w:tc>
          <w:tcPr>
            <w:tcW w:type="dxa" w:w="76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id, demande_id (FK), montant HT/TTC, lignes de calcul, coefficients, statut, lien PDF, date_envoi, prochaine_relance, nb_relances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relances</w:t>
            </w:r>
          </w:p>
        </w:tc>
        <w:tc>
          <w:tcPr>
            <w:tcW w:type="dxa" w:w="76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id, devis_id (FK), type (J+2/J+3/J+7), date planifiée, statut, date_envoi</w:t>
            </w:r>
          </w:p>
        </w:tc>
      </w:tr>
      <w:tr>
        <w:tc>
          <w:tcPr>
            <w:tcW w:type="dxa" w:w="17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conversations</w:t>
            </w:r>
          </w:p>
        </w:tc>
        <w:tc>
          <w:tcPr>
            <w:tcW w:type="dxa" w:w="76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id, client_id (FK), messages (rôle, contenu, horodatage) — historique du chat</w:t>
            </w:r>
          </w:p>
        </w:tc>
      </w:tr>
    </w:tbl>
    <w:p>
      <w:pPr>
        <w:spacing w:after="120"/>
      </w:pPr>
      <w:r>
        <w:rPr>
          <w:b/>
          <w:bCs/>
        </w:rPr>
        <w:t xml:space="preserve">Sécurité : </w:t>
      </w:r>
      <w:r>
        <w:t xml:space="preserve">Row Level Security (RLS) — un client n’accède qu’à ses propres demandes, devis et conversations ; les rôles admin accèdent au pipeline complet. Authentification via Supabase Auth (magic link) pour /admin et le portail /espace-client. (Les 4 tables minimales demandées — demandes, matrices, devis, relances — sont couvertes ; clients et conversations sont l’extension qui rend possible le portail lead.)</w:t>
      </w:r>
    </w:p>
    <w:p>
      <w:pPr>
        <w:pStyle w:val="Heading2"/>
      </w:pPr>
      <w:r>
        <w:t xml:space="preserve">Statuts commerciaux (machine à états)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Nouveau lead → Demande incomplète → Demande qualifiée → Devis envoyé → Relance 1/2 → Accepté / Refusé / Cas complexe transmis → Clôturé</w:t>
      </w:r>
    </w:p>
    <w:p>
      <w:pPr>
        <w:pStyle w:val="Heading1"/>
      </w:pPr>
      <w:r>
        <w:t xml:space="preserve">7. Choix de stack &amp; modèle LLM</w:t>
      </w:r>
    </w:p>
    <w:p>
      <w:pPr>
        <w:pStyle w:val="Heading2"/>
      </w:pPr>
      <w:r>
        <w:t xml:space="preserve">7.1 Stack — Option A hybride (n8n + Supabase) retenue</w:t>
      </w:r>
    </w:p>
    <w:p>
      <w:pPr>
        <w:spacing w:after="120"/>
      </w:pPr>
      <w:r>
        <w:t xml:space="preserve">L’équipe vise un résultat solide et maîtrisé sans surcharge de code. n8n offre une orchestration visuelle à courbe d’apprentissage douce ; la compétence en code de l’équipe est mobilisée là où elle compte : le nœud Code qui héberge calculer_devis() et l’app Next.js (front + dashboard).</w:t>
      </w:r>
    </w:p>
    <w:p>
      <w:pPr>
        <w:spacing w:after="120"/>
      </w:pPr>
      <w:r>
        <w:rPr>
          <w:b/>
          <w:bCs/>
        </w:rPr>
        <w:t xml:space="preserve">Données sur Supabase (et non Airtable) : </w:t>
      </w:r>
      <w:r>
        <w:t xml:space="preserve">comme une interface front est de toute façon nécessaire (landing + chat), Supabase apporte dans une seule stack la base relationnelle, l’authentification (admin + portail lead) et la sécurité par ligne (RLS) — le dashboard custom n’est alors plus un surcoût. Justification détaillée dans l’« Argumentaire des choix » (décision n°4).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100"/>
        <w:gridCol w:w="2700"/>
        <w:gridCol w:w="4560"/>
      </w:tblGrid>
      <w:tr>
        <w:trPr>
          <w:tblHeader/>
        </w:trPr>
        <w:tc>
          <w:tcPr>
            <w:tcW w:type="dxa" w:w="210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Brique</w:t>
            </w:r>
          </w:p>
        </w:tc>
        <w:tc>
          <w:tcPr>
            <w:tcW w:type="dxa" w:w="270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Outil retenu</w:t>
            </w:r>
          </w:p>
        </w:tc>
        <w:tc>
          <w:tcPr>
            <w:tcW w:type="dxa" w:w="456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Justification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Interface prospect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Next.js / React (Vercel)</w:t>
            </w:r>
          </w:p>
        </w:tc>
        <w:tc>
          <w:tcPr>
            <w:tcW w:type="dxa" w:w="45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Hébergement gratuit, UI de chat branchée sur webhook n8n</w:t>
            </w:r>
          </w:p>
        </w:tc>
      </w:tr>
      <w:tr>
        <w:tc>
          <w:tcPr>
            <w:tcW w:type="dxa" w:w="21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Orchestration agent</w:t>
            </w:r>
          </w:p>
        </w:tc>
        <w:tc>
          <w:tcPr>
            <w:tcW w:type="dxa" w:w="27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n8n — nœud AI Agent</w:t>
            </w:r>
          </w:p>
        </w:tc>
        <w:tc>
          <w:tcPr>
            <w:tcW w:type="dxa" w:w="45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Cerveau centralisé, visuel, rapide à mettre en place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Calcul du prix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Nœud Code n8n (JS)</w:t>
            </w:r>
          </w:p>
        </w:tc>
        <w:tc>
          <w:tcPr>
            <w:tcW w:type="dxa" w:w="45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Déterministe, testé en isolation, aucun appel LLM</w:t>
            </w:r>
          </w:p>
        </w:tc>
      </w:tr>
      <w:tr>
        <w:tc>
          <w:tcPr>
            <w:tcW w:type="dxa" w:w="21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Données / Auth</w:t>
            </w:r>
          </w:p>
        </w:tc>
        <w:tc>
          <w:tcPr>
            <w:tcW w:type="dxa" w:w="27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Supabase (PostgreSQL)</w:t>
            </w:r>
          </w:p>
        </w:tc>
        <w:tc>
          <w:tcPr>
            <w:tcW w:type="dxa" w:w="45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Base relationnelle + Auth + RLS, lue par n8n et par l’app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Auth &amp; portail lead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Supabase Auth + RLS</w:t>
            </w:r>
          </w:p>
        </w:tc>
        <w:tc>
          <w:tcPr>
            <w:tcW w:type="dxa" w:w="45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Login admin + espace client (suivi devis / conversations)</w:t>
            </w:r>
          </w:p>
        </w:tc>
      </w:tr>
      <w:tr>
        <w:tc>
          <w:tcPr>
            <w:tcW w:type="dxa" w:w="21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Relances / emails</w:t>
            </w:r>
          </w:p>
        </w:tc>
        <w:tc>
          <w:tcPr>
            <w:tcW w:type="dxa" w:w="27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n8n Schedule + Resend/Brevo</w:t>
            </w:r>
          </w:p>
        </w:tc>
        <w:tc>
          <w:tcPr>
            <w:tcW w:type="dxa" w:w="45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Planification simple, envoi d’emails de test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Pilotage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Page /admin (React → Supabase)</w:t>
            </w:r>
          </w:p>
        </w:tc>
        <w:tc>
          <w:tcPr>
            <w:tcW w:type="dxa" w:w="45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Dashboard intégré à l’app, KPIs en temps réel</w:t>
            </w:r>
          </w:p>
        </w:tc>
      </w:tr>
    </w:tbl>
    <w:p>
      <w:pPr>
        <w:pStyle w:val="Heading2"/>
      </w:pPr>
      <w:r>
        <w:t xml:space="preserve">7.2 Modèle LLM — OpenAI gpt-4o-mini</w:t>
      </w:r>
    </w:p>
    <w:p>
      <w:pPr>
        <w:spacing w:after="120"/>
      </w:pPr>
      <w:r>
        <w:t xml:space="preserve">Le modèle n’a qu’un rôle d’assistance (qualifier, extraire des paramètres structurés, reformuler) — il ne calcule jamais le prix. Le meilleur modèle n’est donc pas le plus puissant, mais le plus adapté au bon coût.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Critère</w:t>
            </w:r>
          </w:p>
        </w:tc>
        <w:tc>
          <w:tcPr>
            <w:tcW w:type="dxa" w:w="716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Évaluation de gpt-4o-mini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Coût</w:t>
            </w:r>
          </w:p>
        </w:tc>
        <w:tc>
          <w:tcPr>
            <w:tcW w:type="dxa" w:w="7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Très faible (~0,15 €/M tokens entrée) : le crédit 10-15 € couvre des milliers de tests</w:t>
            </w:r>
          </w:p>
        </w:tc>
      </w:tr>
      <w:tr>
        <w:tc>
          <w:tcPr>
            <w:tcW w:type="dxa" w:w="22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Sorties structurées</w:t>
            </w:r>
          </w:p>
        </w:tc>
        <w:tc>
          <w:tcPr>
            <w:tcW w:type="dxa" w:w="71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Mode JSON Schema strict natif : extraction fiable des paramètres avant calculer_devis()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Latence</w:t>
            </w:r>
          </w:p>
        </w:tc>
        <w:tc>
          <w:tcPr>
            <w:tcW w:type="dxa" w:w="7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Basse — chat fluide</w:t>
            </w:r>
          </w:p>
        </w:tc>
      </w:tr>
      <w:tr>
        <w:tc>
          <w:tcPr>
            <w:tcW w:type="dxa" w:w="22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Compatibilité n8n</w:t>
            </w:r>
          </w:p>
        </w:tc>
        <w:tc>
          <w:tcPr>
            <w:tcW w:type="dxa" w:w="71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Intégration OpenAI la mieux documentée dans le nœud AI Agent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Adéquation</w:t>
            </w:r>
          </w:p>
        </w:tc>
        <w:tc>
          <w:tcPr>
            <w:tcW w:type="dxa" w:w="7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Largement suffisant pour qualifier/extraire ; alternatives plan B : Gemini Flash, Claude Haiku</w:t>
            </w:r>
          </w:p>
        </w:tc>
      </w:tr>
    </w:tbl>
    <w:p>
      <w:pPr>
        <w:pStyle w:val="Heading1"/>
      </w:pPr>
      <w:r>
        <w:t xml:space="preserve">8. Roadmap en 3 phases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900"/>
        <w:gridCol w:w="5760"/>
        <w:gridCol w:w="1700"/>
      </w:tblGrid>
      <w:tr>
        <w:trPr>
          <w:tblHeader/>
        </w:trPr>
        <w:tc>
          <w:tcPr>
            <w:tcW w:type="dxa" w:w="190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Phase</w:t>
            </w:r>
          </w:p>
        </w:tc>
        <w:tc>
          <w:tcPr>
            <w:tcW w:type="dxa" w:w="576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Contenu</w:t>
            </w:r>
          </w:p>
        </w:tc>
        <w:tc>
          <w:tcPr>
            <w:tcW w:type="dxa" w:w="170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Statut MVP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 — Structurer</w:t>
            </w:r>
          </w:p>
        </w:tc>
        <w:tc>
          <w:tcPr>
            <w:tcW w:type="dxa" w:w="5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Socle de données (CRM), statuts, moteur calculer_devis() testé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Cœur du MVP de la semaine</w:t>
            </w:r>
          </w:p>
        </w:tc>
      </w:tr>
      <w:tr>
        <w:tc>
          <w:tcPr>
            <w:tcW w:type="dxa" w:w="19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 — Automatiser</w:t>
            </w:r>
          </w:p>
        </w:tc>
        <w:tc>
          <w:tcPr>
            <w:tcW w:type="dxa" w:w="57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Devis PDF, envoi email, relances n8n, dashboard de pilotage</w:t>
            </w:r>
          </w:p>
        </w:tc>
        <w:tc>
          <w:tcPr>
            <w:tcW w:type="dxa" w:w="17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Traversée fine dans le MVP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 — IA</w:t>
            </w:r>
          </w:p>
        </w:tc>
        <w:tc>
          <w:tcPr>
            <w:tcW w:type="dxa" w:w="5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Agent conversationnel (landing/chat), qualification, détection des manquants, personnalisation des relances, escalade HITL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Démontré de bout en bout</w:t>
            </w:r>
          </w:p>
        </w:tc>
      </w:tr>
    </w:tbl>
    <w:p>
      <w:pPr>
        <w:pBdr>
          <w:left w:val="single" w:color="0E7A66" w:sz="18" w:space="8"/>
        </w:pBdr>
        <w:shd w:fill="F2F8F6" w:val="clear"/>
        <w:spacing w:after="160" w:before="80"/>
      </w:pPr>
      <w:r>
        <w:rPr>
          <w:b/>
          <w:bCs/>
          <w:color w:val="0A5346"/>
        </w:rPr>
        <w:t xml:space="preserve">Position du MVP : </w:t>
      </w:r>
      <w:r>
        <w:t xml:space="preserve">la semaine couvre intégralement la Phase 1 et démontre une traversée complète des Phases 2 et 3 (prototype de bout en bout). L’industrialisation (robustesse, cas limites exhaustifs, hébergement complet) est renvoyée au post-MVP.</w:t>
      </w:r>
    </w:p>
    <w:p>
      <w:pPr>
        <w:pStyle w:val="Heading1"/>
      </w:pPr>
      <w:r>
        <w:t xml:space="preserve">9. Scénarios de conversation de l’agent</w:t>
      </w:r>
    </w:p>
    <w:p>
      <w:pPr>
        <w:spacing w:after="120"/>
      </w:pPr>
      <w:r>
        <w:t xml:space="preserve">L’agent collecte les informations requises, détecte les manquantes, puis appelle les outils. Flux simplifié :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Accueil → collecte (départ, destination, dates, nb passagers, options) → champs manquants ? → oui : reformuler/demander · non : calculer_devis() → devis PDF → envoi → relance planifiée. Cas atypique → escalade humaine.</w:t>
      </w:r>
    </w:p>
    <w:p>
      <w:pPr>
        <w:pStyle w:val="Heading2"/>
      </w:pPr>
      <w:r>
        <w:t xml:space="preserve">Les 7 scénarios démontrés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Scénario</w:t>
            </w:r>
          </w:p>
        </w:tc>
        <w:tc>
          <w:tcPr>
            <w:tcW w:type="dxa" w:w="676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Comportement attendu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1. Demande simple complète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Qualifiée → devis calculé → proposition générée → pipeline à jour</w:t>
            </w:r>
          </w:p>
        </w:tc>
      </w:tr>
      <w:tr>
        <w:tc>
          <w:tcPr>
            <w:tcW w:type="dxa" w:w="26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2. Demande incomplète</w:t>
            </w:r>
          </w:p>
        </w:tc>
        <w:tc>
          <w:tcPr>
            <w:tcW w:type="dxa" w:w="67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Détection des champs manquants → demande de complément avant devis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3. Demande urgente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Priorité élevée, notification interne, majoration / validation humaine</w:t>
            </w:r>
          </w:p>
        </w:tc>
      </w:tr>
      <w:tr>
        <w:tc>
          <w:tcPr>
            <w:tcW w:type="dxa" w:w="26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4. Devis sans réponse</w:t>
            </w:r>
          </w:p>
        </w:tc>
        <w:tc>
          <w:tcPr>
            <w:tcW w:type="dxa" w:w="67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Relances J+2 (urgent) ou J+3/J+7 (standard), max 2 puis clôturé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5. Devis accepté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Statut « gagné », arrêt des relances, transmission équipe réservation</w:t>
            </w:r>
          </w:p>
        </w:tc>
      </w:tr>
      <w:tr>
        <w:tc>
          <w:tcPr>
            <w:tcW w:type="dxa" w:w="26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6. Devis refusé</w:t>
            </w:r>
          </w:p>
        </w:tc>
        <w:tc>
          <w:tcPr>
            <w:tcW w:type="dxa" w:w="67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Statut mis à jour, email de courtoisie, traçabilité conservée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7. Cas complexe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Refus d’automatisation totale → escalade humaine avec contexte (HITL)</w:t>
            </w:r>
          </w:p>
        </w:tc>
      </w:tr>
    </w:tbl>
    <w:p>
      <w:pPr>
        <w:pStyle w:val="Heading1"/>
      </w:pPr>
      <w:r>
        <w:t xml:space="preserve">10. Contraintes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Type</w:t>
            </w:r>
          </w:p>
        </w:tc>
        <w:tc>
          <w:tcPr>
            <w:tcW w:type="dxa" w:w="766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Contrainte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Métier</w:t>
            </w:r>
          </w:p>
        </w:tc>
        <w:tc>
          <w:tcPr>
            <w:tcW w:type="dxa" w:w="76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Dépendance aux partenaires autocaristes ; saisonnalité forte ; qualité de service à sécuriser</w:t>
            </w:r>
          </w:p>
        </w:tc>
      </w:tr>
      <w:tr>
        <w:tc>
          <w:tcPr>
            <w:tcW w:type="dxa" w:w="17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Tarification</w:t>
            </w:r>
          </w:p>
        </w:tc>
        <w:tc>
          <w:tcPr>
            <w:tcW w:type="dxa" w:w="76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Multi-critères (distance, capacité, saison, urgence, options) — doit rester auditable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Budget</w:t>
            </w:r>
          </w:p>
        </w:tc>
        <w:tc>
          <w:tcPr>
            <w:tcW w:type="dxa" w:w="76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Outils &lt; 1000 €/mois (réaliste PME) ; crédit IA 10-15 € par groupe, plafonné</w:t>
            </w:r>
          </w:p>
        </w:tc>
      </w:tr>
      <w:tr>
        <w:tc>
          <w:tcPr>
            <w:tcW w:type="dxa" w:w="17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Conformité</w:t>
            </w:r>
          </w:p>
        </w:tc>
        <w:tc>
          <w:tcPr>
            <w:tcW w:type="dxa" w:w="76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RGPD : minimisation, données fictives/minimales, pas de PII en clair dans les logs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Délai</w:t>
            </w:r>
          </w:p>
        </w:tc>
        <w:tc>
          <w:tcPr>
            <w:tcW w:type="dxa" w:w="76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Une semaine ; remise L1 le 24/06, prototype le 29/06, soutenance le 01/07</w:t>
            </w:r>
          </w:p>
        </w:tc>
      </w:tr>
      <w:tr>
        <w:tc>
          <w:tcPr>
            <w:tcW w:type="dxa" w:w="17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Réglementation</w:t>
            </w:r>
          </w:p>
        </w:tc>
        <w:tc>
          <w:tcPr>
            <w:tcW w:type="dxa" w:w="76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Temps de conduite/repos, licences, assurances (à intégrer côté partenaires)</w:t>
            </w:r>
          </w:p>
        </w:tc>
      </w:tr>
    </w:tbl>
    <w:p>
      <w:pPr>
        <w:pStyle w:val="Heading1"/>
      </w:pPr>
      <w:r>
        <w:t xml:space="preserve">11. Hypothèses majeures</w:t>
      </w:r>
    </w:p>
    <w:p>
      <w:pPr>
        <w:spacing w:after="120"/>
      </w:pPr>
      <w:r>
        <w:t xml:space="preserve">Les zones non spécifiées par les règles de pricing sont tranchées par des hypothèses documentées (à valider au follow-up du 25/06), marquées [HYPOTHESE] dans le code.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Formule au-delà de 180 km : distance × 2 × 2,5 € (le ×2 = retour à vide du car).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Seuils d’anticipation : &lt; 7 j = DD_PRIORITAIRE (+10 %), 7-29 j = DD_URGENT (+5 %), 30-89 j = DD_NORMAL (-5 %), ≥ 90 j = DD_3MOISETPLUS (-10 %).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Ordre de calcul : base → coefficients (additifs) → options → marge +15 % → TVA 10 %.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Distance saisie/estimée par le prospect au MVP ; API d’itinéraire en évolution (P2).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Péages : forfait 0 € par défaut au MVP, paramétrable dans la table Matrices.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Modèle LLM : gpt-4o-mini ; données de test fictives uniquement.</w:t>
      </w:r>
    </w:p>
    <w:p>
      <w:pPr>
        <w:pStyle w:val="Heading1"/>
      </w:pPr>
      <w:r>
        <w:t xml:space="preserve">12. Critères de succès &amp; KPIs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Indicateur</w:t>
            </w:r>
          </w:p>
        </w:tc>
        <w:tc>
          <w:tcPr>
            <w:tcW w:type="dxa" w:w="556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Cible / sens</w:t>
            </w:r>
          </w:p>
        </w:tc>
      </w:tr>
      <w:tr>
        <w:tc>
          <w:tcPr>
            <w:tcW w:type="dxa" w:w="3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Part des leads traités</w:t>
            </w:r>
          </w:p>
        </w:tc>
        <w:tc>
          <w:tcPr>
            <w:tcW w:type="dxa" w:w="55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Tendre vers 100 % (aucun lead payant sans réponse)</w:t>
            </w:r>
          </w:p>
        </w:tc>
      </w:tr>
      <w:tr>
        <w:tc>
          <w:tcPr>
            <w:tcW w:type="dxa" w:w="38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Délai demande → devis envoyé</w:t>
            </w:r>
          </w:p>
        </w:tc>
        <w:tc>
          <w:tcPr>
            <w:tcW w:type="dxa" w:w="55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Réduction forte vs traitement manuel (objectif : minutes)</w:t>
            </w:r>
          </w:p>
        </w:tc>
      </w:tr>
      <w:tr>
        <w:tc>
          <w:tcPr>
            <w:tcW w:type="dxa" w:w="3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Taux de conversion devis → accepté</w:t>
            </w:r>
          </w:p>
        </w:tc>
        <w:tc>
          <w:tcPr>
            <w:tcW w:type="dxa" w:w="55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À suivre et augmenter</w:t>
            </w:r>
          </w:p>
        </w:tc>
      </w:tr>
      <w:tr>
        <w:tc>
          <w:tcPr>
            <w:tcW w:type="dxa" w:w="38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Devis générés / envoyés / acceptés / refusés</w:t>
            </w:r>
          </w:p>
        </w:tc>
        <w:tc>
          <w:tcPr>
            <w:tcW w:type="dxa" w:w="55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Comptage dans le dashboard</w:t>
            </w:r>
          </w:p>
        </w:tc>
      </w:tr>
      <w:tr>
        <w:tc>
          <w:tcPr>
            <w:tcW w:type="dxa" w:w="3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Relances déclenchées / en attente</w:t>
            </w:r>
          </w:p>
        </w:tc>
        <w:tc>
          <w:tcPr>
            <w:tcW w:type="dxa" w:w="55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Aucune relance oubliée</w:t>
            </w:r>
          </w:p>
        </w:tc>
      </w:tr>
      <w:tr>
        <w:tc>
          <w:tcPr>
            <w:tcW w:type="dxa" w:w="38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Demandes urgentes en cours</w:t>
            </w:r>
          </w:p>
        </w:tc>
        <w:tc>
          <w:tcPr>
            <w:tcW w:type="dxa" w:w="55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Visibilité temps réel pour la direction</w:t>
            </w:r>
          </w:p>
        </w:tc>
      </w:tr>
      <w:tr>
        <w:tc>
          <w:tcPr>
            <w:tcW w:type="dxa" w:w="3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Coût IA par devis (tokens) [bonus]</w:t>
            </w:r>
          </w:p>
        </w:tc>
        <w:tc>
          <w:tcPr>
            <w:tcW w:type="dxa" w:w="55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Maîtrise du budget</w:t>
            </w:r>
          </w:p>
        </w:tc>
      </w:tr>
    </w:tbl>
    <w:p>
      <w:pPr>
        <w:pStyle w:val="Heading1"/>
      </w:pPr>
      <w:r>
        <w:t xml:space="preserve">13. Estimation des gains (ROI)</w:t>
      </w:r>
    </w:p>
    <w:p>
      <w:pPr>
        <w:spacing w:after="120"/>
      </w:pPr>
      <w:r>
        <w:t xml:space="preserve">Estimation illustrative du retour attendu, à affiner avec les données réelles de NeoTravel. Principe : l’automatisation ne crée pas de demande — elle exploite mieux le flux existant (≈ 60 leads/jour), aujourd’hui en partie perdu faute de capacité de traitement.</w:t>
      </w:r>
    </w:p>
    <w:p>
      <w:pPr>
        <w:pStyle w:val="Heading2"/>
      </w:pPr>
      <w:r>
        <w:t xml:space="preserve">13.1 Modèle quantitatif (hypothèses prudentes)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6260"/>
        <w:gridCol w:w="3100"/>
      </w:tblGrid>
      <w:tr>
        <w:trPr>
          <w:tblHeader/>
        </w:trPr>
        <w:tc>
          <w:tcPr>
            <w:tcW w:type="dxa" w:w="626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Hypothèse</w:t>
            </w:r>
          </w:p>
        </w:tc>
        <w:tc>
          <w:tcPr>
            <w:tcW w:type="dxa" w:w="310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Valeur</w:t>
            </w:r>
          </w:p>
        </w:tc>
      </w:tr>
      <w:tr>
        <w:tc>
          <w:tcPr>
            <w:tcW w:type="dxa" w:w="62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Leads entrants par mois (~60/jour)</w:t>
            </w:r>
          </w:p>
        </w:tc>
        <w:tc>
          <w:tcPr>
            <w:tcW w:type="dxa" w:w="3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≈ 1 250</w:t>
            </w:r>
          </w:p>
        </w:tc>
      </w:tr>
      <w:tr>
        <w:tc>
          <w:tcPr>
            <w:tcW w:type="dxa" w:w="62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Part aujourd’hui non / mal traitée [HYPOTHÈSE]</w:t>
            </w:r>
          </w:p>
        </w:tc>
        <w:tc>
          <w:tcPr>
            <w:tcW w:type="dxa" w:w="31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30 %</w:t>
            </w:r>
          </w:p>
        </w:tc>
      </w:tr>
      <w:tr>
        <w:tc>
          <w:tcPr>
            <w:tcW w:type="dxa" w:w="62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Leads récupérés / mois grâce à l’automatisation</w:t>
            </w:r>
          </w:p>
        </w:tc>
        <w:tc>
          <w:tcPr>
            <w:tcW w:type="dxa" w:w="3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≈ 300</w:t>
            </w:r>
          </w:p>
        </w:tc>
      </w:tr>
      <w:tr>
        <w:tc>
          <w:tcPr>
            <w:tcW w:type="dxa" w:w="62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Taux de transformation devis → signé [HYPOTHÈSE]</w:t>
            </w:r>
          </w:p>
        </w:tc>
        <w:tc>
          <w:tcPr>
            <w:tcW w:type="dxa" w:w="31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20 %</w:t>
            </w:r>
          </w:p>
        </w:tc>
      </w:tr>
      <w:tr>
        <w:tc>
          <w:tcPr>
            <w:tcW w:type="dxa" w:w="62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Prestations signées supplémentaires / mois</w:t>
            </w:r>
          </w:p>
        </w:tc>
        <w:tc>
          <w:tcPr>
            <w:tcW w:type="dxa" w:w="3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≈ 60</w:t>
            </w:r>
          </w:p>
        </w:tc>
      </w:tr>
      <w:tr>
        <w:tc>
          <w:tcPr>
            <w:tcW w:type="dxa" w:w="62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Panier moyen HT par prestation [HYPOTHÈSE]</w:t>
            </w:r>
          </w:p>
        </w:tc>
        <w:tc>
          <w:tcPr>
            <w:tcW w:type="dxa" w:w="31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1 500 €</w:t>
            </w:r>
          </w:p>
        </w:tc>
      </w:tr>
      <w:tr>
        <w:tc>
          <w:tcPr>
            <w:tcW w:type="dxa" w:w="62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Marge commerciale</w:t>
            </w:r>
          </w:p>
        </w:tc>
        <w:tc>
          <w:tcPr>
            <w:tcW w:type="dxa" w:w="3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15 %</w:t>
            </w:r>
          </w:p>
        </w:tc>
      </w:tr>
      <w:tr>
        <w:tc>
          <w:tcPr>
            <w:tcW w:type="dxa" w:w="62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→ Marge additionnelle estimée / mois</w:t>
            </w:r>
          </w:p>
        </w:tc>
        <w:tc>
          <w:tcPr>
            <w:tcW w:type="dxa" w:w="31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≈ 13 500 €</w:t>
            </w:r>
          </w:p>
        </w:tc>
      </w:tr>
      <w:tr>
        <w:tc>
          <w:tcPr>
            <w:tcW w:type="dxa" w:w="62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→ Marge additionnelle estimée / an</w:t>
            </w:r>
          </w:p>
        </w:tc>
        <w:tc>
          <w:tcPr>
            <w:tcW w:type="dxa" w:w="3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≈ 162 000 €</w:t>
            </w:r>
          </w:p>
        </w:tc>
      </w:tr>
    </w:tbl>
    <w:p>
      <w:pPr>
        <w:pStyle w:val="Heading2"/>
      </w:pPr>
      <w:r>
        <w:t xml:space="preserve">13.2 Coût de la solution &amp; payback</w:t>
      </w:r>
    </w:p>
    <w:p>
      <w:pPr>
        <w:spacing w:after="120"/>
      </w:pPr>
      <w:r>
        <w:t xml:space="preserve">Coût des outils (Supabase, n8n, Vercel, emailing, crédit IA) : </w:t>
      </w:r>
      <w:r>
        <w:rPr>
          <w:b/>
          <w:bCs/>
        </w:rPr>
        <w:t xml:space="preserve">&lt; 1 000 €/mois</w:t>
      </w:r>
      <w:r>
        <w:t xml:space="preserve"> (≈ 12 000 €/an), conforme à la cible PME. Rapporté au gain estimé, le </w:t>
      </w:r>
      <w:r>
        <w:rPr>
          <w:b/>
          <w:bCs/>
          <w:color w:val="0A5346"/>
        </w:rPr>
        <w:t xml:space="preserve">retour sur investissement est atteint en moins d’un mois</w:t>
      </w:r>
      <w:r>
        <w:t xml:space="preserve">.</w:t>
      </w:r>
    </w:p>
    <w:p>
      <w:pPr>
        <w:pStyle w:val="Heading2"/>
      </w:pPr>
      <w:r>
        <w:t xml:space="preserve">13.3 Gains qualitatifs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Aucun lead payant laissé sans réponse (fin du manque à gagner de la Friction 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Temps commercial libéré : les devis standard et les relances ne sont plus manuels.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Campagnes d’acquisition « débridables » sans saturer les équipes (Friction 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Réponses plus rapides → meilleur taux de transformation.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Visibilité direction en temps réel (pilotage par la donnée).</w:t>
      </w:r>
    </w:p>
    <w:p>
      <w:pPr>
        <w:pBdr>
          <w:left w:val="single" w:color="0E7A66" w:sz="18" w:space="8"/>
        </w:pBdr>
        <w:shd w:fill="F2F8F6" w:val="clear"/>
        <w:spacing w:after="160" w:before="80"/>
      </w:pPr>
      <w:r>
        <w:rPr>
          <w:b/>
          <w:bCs/>
          <w:color w:val="0A5346"/>
        </w:rPr>
        <w:t xml:space="preserve">Note : </w:t>
      </w:r>
      <w:r>
        <w:t xml:space="preserve">chiffres illustratifs fondés sur des hypothèses à valider avec les données réelles de NeoTravel ; l’objectif est de montrer l’ordre de grandeur — un ROI très favorable même avec des hypothèses prudentes.</w:t>
      </w:r>
    </w:p>
    <w:p>
      <w:pPr>
        <w:pStyle w:val="Heading1"/>
      </w:pPr>
      <w:r>
        <w:t xml:space="preserve">14. Parties prenantes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Partie prenante</w:t>
            </w:r>
          </w:p>
        </w:tc>
        <w:tc>
          <w:tcPr>
            <w:tcW w:type="dxa" w:w="686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Rôle / intérêt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Équipe commerciale</w:t>
            </w:r>
          </w:p>
        </w:tc>
        <w:tc>
          <w:tcPr>
            <w:tcW w:type="dxa" w:w="68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Bénéficiaire : moins de tâches répétitives, plus de temps à forte valeur</w:t>
            </w:r>
          </w:p>
        </w:tc>
      </w:tr>
      <w:tr>
        <w:tc>
          <w:tcPr>
            <w:tcW w:type="dxa" w:w="25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Agents de réservation</w:t>
            </w:r>
          </w:p>
        </w:tc>
        <w:tc>
          <w:tcPr>
            <w:tcW w:type="dxa" w:w="68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Reçoivent les dossiers gagnés et les cas complexes escaladés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Direction commerciale</w:t>
            </w:r>
          </w:p>
        </w:tc>
        <w:tc>
          <w:tcPr>
            <w:tcW w:type="dxa" w:w="68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Pilotage du pipeline et des performances via le dashboard</w:t>
            </w:r>
          </w:p>
        </w:tc>
      </w:tr>
      <w:tr>
        <w:tc>
          <w:tcPr>
            <w:tcW w:type="dxa" w:w="25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Prospects</w:t>
            </w:r>
          </w:p>
        </w:tc>
        <w:tc>
          <w:tcPr>
            <w:tcW w:type="dxa" w:w="68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Réponse rapide, expérience fluide et rassurante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Partenaires autocaristes</w:t>
            </w:r>
          </w:p>
        </w:tc>
        <w:tc>
          <w:tcPr>
            <w:tcW w:type="dxa" w:w="68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Mobilisés en aval (hors périmètre prototype)</w:t>
            </w:r>
          </w:p>
        </w:tc>
      </w:tr>
      <w:tr>
        <w:tc>
          <w:tcPr>
            <w:tcW w:type="dxa" w:w="25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Équipe projet</w:t>
            </w:r>
          </w:p>
        </w:tc>
        <w:tc>
          <w:tcPr>
            <w:tcW w:type="dxa" w:w="68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Axel MOMPER, Vincent CONTER, Zakaria TOUAMI — conception, développement, restitution</w:t>
            </w:r>
          </w:p>
        </w:tc>
      </w:tr>
    </w:tbl>
    <w:p>
      <w:pPr>
        <w:pStyle w:val="Heading1"/>
      </w:pPr>
      <w:r>
        <w:t xml:space="preserve">15. Risques &amp; limites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Risque / limite</w:t>
            </w:r>
          </w:p>
        </w:tc>
        <w:tc>
          <w:tcPr>
            <w:tcW w:type="dxa" w:w="556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Mitigation</w:t>
            </w:r>
          </w:p>
        </w:tc>
      </w:tr>
      <w:tr>
        <w:tc>
          <w:tcPr>
            <w:tcW w:type="dxa" w:w="3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Prix erroné si calculé par le LLM</w:t>
            </w:r>
          </w:p>
        </w:tc>
        <w:tc>
          <w:tcPr>
            <w:tcW w:type="dxa" w:w="55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Calcul 100 % déterministe via calculer_devis(), testé en isolation</w:t>
            </w:r>
          </w:p>
        </w:tc>
      </w:tr>
      <w:tr>
        <w:tc>
          <w:tcPr>
            <w:tcW w:type="dxa" w:w="38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Hallucination de l’agent (zone/règle inventée)</w:t>
            </w:r>
          </w:p>
        </w:tc>
        <w:tc>
          <w:tcPr>
            <w:tcW w:type="dxa" w:w="55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Réponses ancrées sur la base (lookup) ; « no sources, no answer »</w:t>
            </w:r>
          </w:p>
        </w:tc>
      </w:tr>
      <w:tr>
        <w:tc>
          <w:tcPr>
            <w:tcW w:type="dxa" w:w="3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Injection de prompt par le prospect</w:t>
            </w:r>
          </w:p>
        </w:tc>
        <w:tc>
          <w:tcPr>
            <w:tcW w:type="dxa" w:w="55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Le code ne négocie pas le prix ; séparation données/instructions ; HITL</w:t>
            </w:r>
          </w:p>
        </w:tc>
      </w:tr>
      <w:tr>
        <w:tc>
          <w:tcPr>
            <w:tcW w:type="dxa" w:w="38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Crédit IA épuisé en milieu de semaine</w:t>
            </w:r>
          </w:p>
        </w:tc>
        <w:tc>
          <w:tcPr>
            <w:tcW w:type="dxa" w:w="55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Modèle éco (gpt-4o-mini), suivi du budget, tests ciblés</w:t>
            </w:r>
          </w:p>
        </w:tc>
      </w:tr>
      <w:tr>
        <w:tc>
          <w:tcPr>
            <w:tcW w:type="dxa" w:w="3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Relances en double / devis dupliqués</w:t>
            </w:r>
          </w:p>
        </w:tc>
        <w:tc>
          <w:tcPr>
            <w:tcW w:type="dxa" w:w="55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Clé d’idempotence + statuts ; délai court en démo, config réelle documentée</w:t>
            </w:r>
          </w:p>
        </w:tc>
      </w:tr>
      <w:tr>
        <w:tc>
          <w:tcPr>
            <w:tcW w:type="dxa" w:w="38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Périmètre trop ambitieux en 1 semaine</w:t>
            </w:r>
          </w:p>
        </w:tc>
        <w:tc>
          <w:tcPr>
            <w:tcW w:type="dxa" w:w="55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MVP = chaîne complète basique avant toute sophistication</w:t>
            </w:r>
          </w:p>
        </w:tc>
      </w:tr>
    </w:tbl>
    <w:p>
      <w:pPr>
        <w:pStyle w:val="Heading1"/>
      </w:pPr>
      <w:r>
        <w:t xml:space="preserve">16. Décision attendue / recommandation</w:t>
      </w:r>
    </w:p>
    <w:p>
      <w:pPr>
        <w:spacing w:after="120"/>
      </w:pPr>
      <w:r>
        <w:rPr>
          <w:b/>
          <w:bCs/>
        </w:rPr>
        <w:t xml:space="preserve">Recommandation : </w:t>
      </w:r>
      <w:r>
        <w:t xml:space="preserve">GO sur l’Option A hybride (n8n au cœur, données Supabase) avec le modèle gpt-4o-mini, pour un MVP couvrant l’ensemble de la chaîne commerciale. Le moteur de devis déterministe est construit et testé en premier, puis l’agent est posé dessus.</w:t>
      </w:r>
    </w:p>
    <w:p>
      <w:pPr>
        <w:spacing w:after="120"/>
      </w:pPr>
      <w:r>
        <w:rPr>
          <w:b/>
          <w:bCs/>
        </w:rPr>
        <w:t xml:space="preserve">Conditions : </w:t>
      </w:r>
      <w:r>
        <w:t xml:space="preserve">validation au follow-up du 25/06 des hypothèses de pricing (section 11) et du choix de stack/modèle ; respect du budget (&lt; 1000 €/mois, crédit IA 10-15 €) ; données de test fictives (RGPD).</w:t>
      </w:r>
    </w:p>
    <w:p>
      <w:pPr>
        <w:pBdr>
          <w:left w:val="single" w:color="0E7A66" w:sz="18" w:space="8"/>
        </w:pBdr>
        <w:shd w:fill="F2F8F6" w:val="clear"/>
        <w:spacing w:after="160" w:before="80"/>
      </w:pPr>
      <w:r>
        <w:rPr>
          <w:b/>
          <w:bCs/>
          <w:color w:val="0A5346"/>
        </w:rPr>
        <w:t xml:space="preserve">Critère de réussite : </w:t>
      </w:r>
      <w:r>
        <w:t xml:space="preserve">prouver que l’équipe a compris le métier, construit un flux complet, sécurisé le pricing (déterministe et auditable) et rendu la solution reprenable.</w:t>
      </w:r>
    </w:p>
    <w:p>
      <w:r>
        <w:br w:type="page"/>
      </w:r>
    </w:p>
    <w:p>
      <w:pPr>
        <w:pStyle w:val="Heading1"/>
      </w:pPr>
      <w:r>
        <w:t xml:space="preserve">Annexe A — Wireframes (low-fidelity)</w:t>
      </w:r>
    </w:p>
    <w:p>
      <w:pPr>
        <w:spacing w:after="120"/>
      </w:pPr>
      <w:r>
        <w:t xml:space="preserve">Wireframes « rough » annotés, produits avant le développement pour valider la structure de l’interface et la manière dont elle sert le flux commercial (la conversation au centre). Le rendu haute-fidélité (charte graphique appliquée) sera réalisé séparément.</w:t>
      </w:r>
    </w:p>
    <w:p>
      <w:pPr>
        <w:pStyle w:val="Heading2"/>
      </w:pPr>
      <w:r>
        <w:t xml:space="preserve">Écran 1 — Landing conversationnelle</w:t>
      </w:r>
    </w:p>
    <w:p>
      <w:pPr>
        <w:spacing w:after="60"/>
        <w:jc w:val="center"/>
      </w:pPr>
      <w:r>
        <w:drawing>
          <wp:inline distT="0" distB="0" distL="0" distR="0">
            <wp:extent cx="5905500" cy="4476750"/>
            <wp:effectExtent t="0" r="0" b="0" l="0"/>
            <wp:docPr id="1" name="Wireframe landing" descr="Wireframe landing" title="Wireframe land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La conversation est la pièce maîtresse de la page, visible sans scroll — elle remplace le formulaire.</w:t>
      </w:r>
    </w:p>
    <w:p>
      <w:pPr>
        <w:pStyle w:val="Heading2"/>
      </w:pPr>
      <w:r>
        <w:t xml:space="preserve">Écran 2 — Conversation (collecte → devis → escalade)</w:t>
      </w:r>
    </w:p>
    <w:p>
      <w:pPr>
        <w:spacing w:after="60"/>
        <w:jc w:val="center"/>
      </w:pPr>
      <w:r>
        <w:drawing>
          <wp:inline distT="0" distB="0" distL="0" distR="0">
            <wp:extent cx="5905500" cy="4476750"/>
            <wp:effectExtent t="0" r="0" b="0" l="0"/>
            <wp:docPr id="1" name="Wireframe chat" descr="Wireframe chat" title="Wireframe ch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Le prix s’affiche dans une carte devis générée par le moteur déterministe ; le récapitulatif se remplit au fil de la collecte ; les cas complexes sont escaladés à un humain.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</w:pPr>
    <w:r>
      <w:rPr>
        <w:color w:val="666666"/>
        <w:sz w:val="16"/>
        <w:szCs w:val="16"/>
      </w:rPr>
      <w:t xml:space="preserve">NeoTravel · Dossier de cadrage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/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E7A66" w:sz="6" w:space="4"/>
      </w:pBdr>
      <w:spacing w:after="140" w:before="280"/>
      <w:outlineLvl w:val="0"/>
    </w:pPr>
    <w:rPr>
      <w:rFonts w:ascii="Arial" w:cs="Arial" w:eastAsia="Arial" w:hAnsi="Arial"/>
      <w:b/>
      <w:bCs/>
      <w:color w:val="0E7A6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0A534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b2da73b3f15b947105ffc89012fc45f431bca9a.png"/><Relationship Id="rId9" Type="http://schemas.openxmlformats.org/officeDocument/2006/relationships/image" Target="media/7851563048a734ab3bbb13584d46bcc1cb9fde34.png"/><Relationship Id="rId10" Type="http://schemas.openxmlformats.org/officeDocument/2006/relationships/image" Target="media/512cda3923b5d0c96dc471f9e1b5e89bb7fd8551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Dossier de cadrage — NeoTravel</dc:title>
  <dc:creator>Équipe NeoTravel</dc:creator>
  <cp:lastModifiedBy>Un-named</cp:lastModifiedBy>
  <cp:revision>1</cp:revision>
  <dcterms:created xsi:type="dcterms:W3CDTF">2026-06-29T14:41:45.403Z</dcterms:created>
  <dcterms:modified xsi:type="dcterms:W3CDTF">2026-06-29T14:41:45.404Z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