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2857500" cy="1581150"/>
            <wp:effectExtent t="0" r="0" b="0" l="0"/>
            <wp:docPr id="1" name="logo" descr="Logo" title="Neo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0"/>
        <w:jc w:val="center"/>
      </w:pPr>
      <w:r>
        <w:rPr>
          <w:b/>
          <w:bCs/>
          <w:color w:val="0E7A66"/>
          <w:sz w:val="52"/>
          <w:szCs w:val="52"/>
        </w:rPr>
        <w:t xml:space="preserve">ARGUMENTAIRE DES CHOIX</w:t>
      </w:r>
    </w:p>
    <w:p>
      <w:pPr>
        <w:spacing w:after="60"/>
        <w:jc w:val="center"/>
      </w:pPr>
      <w:r>
        <w:rPr>
          <w:color w:val="333333"/>
          <w:sz w:val="28"/>
          <w:szCs w:val="28"/>
        </w:rPr>
        <w:t xml:space="preserve">Défense des choix techniques — support de soutenance</w:t>
      </w:r>
    </w:p>
    <w:p>
      <w:pPr>
        <w:spacing w:after="400"/>
        <w:jc w:val="center"/>
      </w:pPr>
      <w:r>
        <w:rPr>
          <w:b/>
          <w:bCs/>
          <w:color w:val="0A5346"/>
          <w:sz w:val="28"/>
          <w:szCs w:val="28"/>
        </w:rPr>
        <w:t xml:space="preserve">NEO TRAVEL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Équipe : Axel MOMPER · Vincent CONTER · Zakaria TOUAMI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Document annexe au dossier de cadrage · sert aussi de journal de décisions</w:t>
      </w:r>
    </w:p>
    <w:p>
      <w:r>
        <w:br w:type="page"/>
      </w:r>
    </w:p>
    <w:p>
      <w:pPr>
        <w:spacing w:after="160"/>
      </w:pPr>
      <w:r>
        <w:rPr>
          <w:b/>
          <w:bCs/>
          <w:color w:val="0E7A66"/>
          <w:sz w:val="32"/>
          <w:szCs w:val="32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00"/>
      </w:pPr>
      <w:r>
        <w:t xml:space="preserve">Ce document justifie chaque décision structurante du projet : le besoin, le choix retenu, les alternatives écartées et le compromis assumé. Il sert de support à la </w:t>
      </w:r>
      <w:r>
        <w:rPr>
          <w:b/>
          <w:bCs/>
        </w:rPr>
        <w:t xml:space="preserve">défense des choix en soutenance (Bloc C)</w:t>
      </w:r>
      <w:r>
        <w:t xml:space="preserve"> et de </w:t>
      </w:r>
      <w:r>
        <w:rPr>
          <w:b/>
          <w:bCs/>
        </w:rPr>
        <w:t xml:space="preserve">journal de décisions</w:t>
      </w:r>
      <w:r>
        <w:t xml:space="preserve"> (démarche Agile).</w:t>
      </w:r>
    </w:p>
    <w:p>
      <w:pPr>
        <w:pStyle w:val="Heading1"/>
      </w:pPr>
      <w:r>
        <w:t xml:space="preserve">1. Automatiser toute la chaîne (pas un simple chatbot)</w:t>
      </w:r>
    </w:p>
    <w:p>
      <w:pPr>
        <w:spacing w:after="100"/>
      </w:pPr>
      <w:r>
        <w:rPr>
          <w:b/>
          <w:bCs/>
          <w:color w:val="0A5346"/>
        </w:rPr>
        <w:t xml:space="preserve">Besoin / contexte : </w:t>
      </w:r>
      <w:r>
        <w:t xml:space="preserve">NeoTravel reçoit ~60 leads/jour sous-exploités ; le sujet est tout le cycle commercial, pas un assistant conversationnel.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Un prototype couvrant les 10 fonctions, de la captation au dashboard.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Un chatbot seul ne répond pas au besoin (piège n°1 de la FAQ). La cohérence de la chaîne prime sur la perfection d’un maillon.</w:t>
      </w:r>
    </w:p>
    <w:p>
      <w:pPr>
        <w:spacing w:after="100"/>
      </w:pPr>
      <w:r>
        <w:rPr>
          <w:b/>
          <w:bCs/>
          <w:color w:val="0A5346"/>
        </w:rPr>
        <w:t xml:space="preserve">Alternative écartée : </w:t>
      </w:r>
      <w:r>
        <w:t xml:space="preserve">Un chatbot isolé sans process derrière (base, calcul, devis, relances, statuts).</w:t>
      </w:r>
    </w:p>
    <w:p>
      <w:pPr>
        <w:spacing w:after="100"/>
      </w:pPr>
      <w:r>
        <w:rPr>
          <w:b/>
          <w:bCs/>
          <w:color w:val="0A5346"/>
        </w:rPr>
        <w:t xml:space="preserve">Compromis assumé : </w:t>
      </w:r>
      <w:r>
        <w:t xml:space="preserve">Chaque brique reste volontairement basique pour couvrir toute la chaîne dans la semaine.</w:t>
      </w:r>
    </w:p>
    <w:p>
      <w:pPr>
        <w:pBdr>
          <w:left w:val="single" w:color="0E7A66" w:sz="18" w:space="8"/>
        </w:pBdr>
        <w:shd w:fill="F2F8F6" w:val="clear"/>
        <w:spacing w:after="160" w:before="60"/>
      </w:pPr>
      <w:r>
        <w:rPr>
          <w:b/>
          <w:bCs/>
          <w:color w:val="0A5346"/>
        </w:rPr>
        <w:t xml:space="preserve">En une phrase (soutenance) : </w:t>
      </w:r>
      <w:r>
        <w:t xml:space="preserve">On n’a pas fait un chatbot — on a automatisé le cycle commercial de bout en bout.</w:t>
      </w:r>
    </w:p>
    <w:p>
      <w:pPr>
        <w:pStyle w:val="Heading1"/>
      </w:pPr>
      <w:r>
        <w:t xml:space="preserve">2. Tarification déterministe : calculer_devis(), jamais le LLM</w:t>
      </w:r>
    </w:p>
    <w:p>
      <w:pPr>
        <w:spacing w:after="100"/>
      </w:pPr>
      <w:r>
        <w:rPr>
          <w:b/>
          <w:bCs/>
          <w:color w:val="0A5346"/>
        </w:rPr>
        <w:t xml:space="preserve">Besoin / contexte : </w:t>
      </w:r>
      <w:r>
        <w:t xml:space="preserve">Un devis engage commercialement NeoTravel : il doit être exact, reproductible et auditable.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Un moteur de règles en code (calculer_devis()), construit et testé en isolation, exposé comme outil que l’agent appelle.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Un LLM peut halluciner un prix, varier d’un appel à l’autre et n’est pas auditable ; il est aussi manipulable par injection de prompt. Le code, lui, ne négocie pas.</w:t>
      </w:r>
    </w:p>
    <w:p>
      <w:pPr>
        <w:spacing w:after="100"/>
      </w:pPr>
      <w:r>
        <w:rPr>
          <w:b/>
          <w:bCs/>
          <w:color w:val="0A5346"/>
        </w:rPr>
        <w:t xml:space="preserve">Alternative écartée : </w:t>
      </w:r>
      <w:r>
        <w:t xml:space="preserve">Laisser l’IA estimer/calculer le prix en langage naturel.</w:t>
      </w:r>
    </w:p>
    <w:p>
      <w:pPr>
        <w:spacing w:after="100"/>
      </w:pPr>
      <w:r>
        <w:rPr>
          <w:b/>
          <w:bCs/>
          <w:color w:val="0A5346"/>
        </w:rPr>
        <w:t xml:space="preserve">Compromis assumé : </w:t>
      </w:r>
      <w:r>
        <w:t xml:space="preserve">Aucun réel : c’est la règle d’or du sujet. Le coût est seulement de bien documenter les règles.</w:t>
      </w:r>
    </w:p>
    <w:p>
      <w:pPr>
        <w:pBdr>
          <w:left w:val="single" w:color="0E7A66" w:sz="18" w:space="8"/>
        </w:pBdr>
        <w:shd w:fill="F2F8F6" w:val="clear"/>
        <w:spacing w:after="160" w:before="60"/>
      </w:pPr>
      <w:r>
        <w:rPr>
          <w:b/>
          <w:bCs/>
          <w:color w:val="0A5346"/>
        </w:rPr>
        <w:t xml:space="preserve">En une phrase (soutenance) : </w:t>
      </w:r>
      <w:r>
        <w:t xml:space="preserve">Le LLM décide quoi faire ; le code calcule le prix — toujours, de façon auditable.</w:t>
      </w:r>
    </w:p>
    <w:p>
      <w:pPr>
        <w:pStyle w:val="Heading1"/>
      </w:pPr>
      <w:r>
        <w:t xml:space="preserve">3. Orchestration : Option A (n8n au cœur)</w:t>
      </w:r>
    </w:p>
    <w:p>
      <w:pPr>
        <w:spacing w:after="100"/>
      </w:pPr>
      <w:r>
        <w:rPr>
          <w:b/>
          <w:bCs/>
          <w:color w:val="0A5346"/>
        </w:rPr>
        <w:t xml:space="preserve">Besoin / contexte : </w:t>
      </w:r>
      <w:r>
        <w:t xml:space="preserve">Orchestrer l’agent, ses outils et les relances, avec une équipe globalement peu à l’aise en code.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Le nœud AI Agent de n8n comme cerveau ; le front n’est qu’une UI branchée sur un webhook n8n.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Orchestration visuelle, courbe d’apprentissage douce, relances natives (Schedule Trigger), résultat solide rapidement.</w:t>
      </w:r>
    </w:p>
    <w:p>
      <w:pPr>
        <w:spacing w:after="100"/>
      </w:pPr>
      <w:r>
        <w:rPr>
          <w:b/>
          <w:bCs/>
          <w:color w:val="0A5346"/>
        </w:rPr>
        <w:t xml:space="preserve">Alternative écartée : </w:t>
      </w:r>
      <w:r>
        <w:t xml:space="preserve">Tout coder dans le front (Option B, Vercel AI SDK) : plus exigeant, état conversationnel à gérer.</w:t>
      </w:r>
    </w:p>
    <w:p>
      <w:pPr>
        <w:spacing w:after="100"/>
      </w:pPr>
      <w:r>
        <w:rPr>
          <w:b/>
          <w:bCs/>
          <w:color w:val="0A5346"/>
        </w:rPr>
        <w:t xml:space="preserve">Compromis assumé : </w:t>
      </w:r>
      <w:r>
        <w:t xml:space="preserve">Part de code « agent » plus mince et UI 100 % sur-mesure à intégrer via webhook. On garde le cerveau dans n8n pour ne pas dupliquer la logique.</w:t>
      </w:r>
    </w:p>
    <w:p>
      <w:pPr>
        <w:pBdr>
          <w:left w:val="single" w:color="0E7A66" w:sz="18" w:space="8"/>
        </w:pBdr>
        <w:shd w:fill="F2F8F6" w:val="clear"/>
        <w:spacing w:after="160" w:before="60"/>
      </w:pPr>
      <w:r>
        <w:rPr>
          <w:b/>
          <w:bCs/>
          <w:color w:val="0A5346"/>
        </w:rPr>
        <w:t xml:space="preserve">En une phrase (soutenance) : </w:t>
      </w:r>
      <w:r>
        <w:t xml:space="preserve">n8n nous donne un agent fiable rapidement, sans réécrire un orchestrateur.</w:t>
      </w:r>
    </w:p>
    <w:p>
      <w:pPr>
        <w:pStyle w:val="Heading1"/>
      </w:pPr>
      <w:r>
        <w:t xml:space="preserve">4. Données : Supabase plutôt qu’Airtable</w:t>
      </w:r>
    </w:p>
    <w:p>
      <w:pPr>
        <w:spacing w:after="100"/>
      </w:pPr>
      <w:r>
        <w:rPr>
          <w:b/>
          <w:bCs/>
          <w:color w:val="0A5346"/>
        </w:rPr>
        <w:t xml:space="preserve">Besoin / contexte : </w:t>
      </w:r>
      <w:r>
        <w:t xml:space="preserve">Stocker demandes, devis, relances et matrices ; piloter l’activité ; et — point clé — nous développons déjà une interface (landing + chatbot), donc un espace /admin et un espace client sont à portée de main.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Supabase (PostgreSQL managé) avec Auth et Row Level Security intégrés ; dashboard et portail codés dans la même app Next.js.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Vraie base relationnelle (relations, SQL, contraintes), authentification et sécurité par ligne (RLS) intégrées, triggers / Database Webhooks / realtime, et familiarité de l’équipe. Comme le front existe de toute façon, le dashboard custom n’est plus un surcoût mais une simple route.</w:t>
      </w:r>
    </w:p>
    <w:p>
      <w:pPr>
        <w:spacing w:after="100"/>
      </w:pPr>
      <w:r>
        <w:rPr>
          <w:b/>
          <w:bCs/>
        </w:rPr>
        <w:t xml:space="preserve">Comparaison Supabase vs Airtable 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Critère</w:t>
            </w:r>
          </w:p>
        </w:tc>
        <w:tc>
          <w:tcPr>
            <w:tcW w:type="dxa" w:w="32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Airtable</w:t>
            </w:r>
          </w:p>
        </w:tc>
        <w:tc>
          <w:tcPr>
            <w:tcW w:type="dxa" w:w="39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Supabase (retenu)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de pilotage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Interface no-code gratuite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Page React/Next dans notre app (à coder, mais l’app existe déjà)</w:t>
            </w:r>
          </w:p>
        </w:tc>
      </w:tr>
      <w:tr>
        <w:tc>
          <w:tcPr>
            <w:tcW w:type="dxa" w:w="2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Authentification applicative</w:t>
            </w:r>
          </w:p>
        </w:tc>
        <w:tc>
          <w:tcPr>
            <w:tcW w:type="dxa" w:w="3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Non intégrée à notre app</w:t>
            </w:r>
          </w:p>
        </w:tc>
        <w:tc>
          <w:tcPr>
            <w:tcW w:type="dxa" w:w="39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Supabase Auth (admin + portail lead) clé en main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Sécurité par utilisateur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Partages limités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Row Level Security (chacun voit ses données)</w:t>
            </w:r>
          </w:p>
        </w:tc>
      </w:tr>
      <w:tr>
        <w:tc>
          <w:tcPr>
            <w:tcW w:type="dxa" w:w="2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 de données</w:t>
            </w:r>
          </w:p>
        </w:tc>
        <w:tc>
          <w:tcPr>
            <w:tcW w:type="dxa" w:w="3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Tableur amélioré, quotas API</w:t>
            </w:r>
          </w:p>
        </w:tc>
        <w:tc>
          <w:tcPr>
            <w:tcW w:type="dxa" w:w="39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PostgreSQL réel : relations, SQL, triggers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Automatisation DB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Automations basiques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Triggers, Database Webhooks → n8n, realtime</w:t>
            </w:r>
          </w:p>
        </w:tc>
      </w:tr>
      <w:tr>
        <w:tc>
          <w:tcPr>
            <w:tcW w:type="dxa" w:w="2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Familiarité équipe</w:t>
            </w:r>
          </w:p>
        </w:tc>
        <w:tc>
          <w:tcPr>
            <w:tcW w:type="dxa" w:w="3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Jamais utilisé</w:t>
            </w:r>
          </w:p>
        </w:tc>
        <w:tc>
          <w:tcPr>
            <w:tcW w:type="dxa" w:w="39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Déjà pratiqué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Valorisation soutenance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Prototype no-code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Stack pro et transférable</w:t>
            </w:r>
          </w:p>
        </w:tc>
      </w:tr>
    </w:tbl>
    <w:p>
      <w:pPr>
        <w:spacing w:after="100"/>
      </w:pPr>
      <w:r>
        <w:rPr>
          <w:b/>
          <w:bCs/>
          <w:color w:val="0A5346"/>
        </w:rPr>
        <w:t xml:space="preserve">Alternative écartée : </w:t>
      </w:r>
      <w:r>
        <w:t xml:space="preserve">Airtable + son Interface no-code : dashboard gratuit, mais pas d’authentification intégrée à notre application, base de type tableur (relations et quotas limités), et impossibilité d’offrir un espace de connexion lead dans notre interface.</w:t>
      </w:r>
    </w:p>
    <w:p>
      <w:pPr>
        <w:spacing w:after="100"/>
      </w:pPr>
      <w:r>
        <w:rPr>
          <w:b/>
          <w:bCs/>
          <w:color w:val="0A5346"/>
        </w:rPr>
        <w:t xml:space="preserve">Compromis assumé : </w:t>
      </w:r>
      <w:r>
        <w:t xml:space="preserve">On code le dashboard et le portail — mais c’est marginal puisque l’app front est déjà nécessaire ; cela concentre toutefois du développement sur le profil codeur de l’équipe (dashboard gardé minimal).</w:t>
      </w:r>
    </w:p>
    <w:p>
      <w:pPr>
        <w:pBdr>
          <w:left w:val="single" w:color="0E7A66" w:sz="18" w:space="8"/>
        </w:pBdr>
        <w:shd w:fill="F2F8F6" w:val="clear"/>
        <w:spacing w:after="160" w:before="60"/>
      </w:pPr>
      <w:r>
        <w:rPr>
          <w:b/>
          <w:bCs/>
          <w:color w:val="0A5346"/>
        </w:rPr>
        <w:t xml:space="preserve">En une phrase (soutenance) : </w:t>
      </w:r>
      <w:r>
        <w:t xml:space="preserve">Comme on développe déjà l’interface, Supabase réunit base + authentification + dashboard + portail client dans une seule stack cohérente.</w:t>
      </w:r>
    </w:p>
    <w:p>
      <w:pPr>
        <w:pBdr>
          <w:left w:val="single" w:color="0E7A66" w:sz="18" w:space="8"/>
        </w:pBdr>
        <w:shd w:fill="F2F8F6" w:val="clear"/>
        <w:spacing w:after="160" w:before="60"/>
      </w:pPr>
      <w:r>
        <w:rPr>
          <w:b/>
          <w:bCs/>
          <w:color w:val="0A5346"/>
        </w:rPr>
        <w:t xml:space="preserve">Conformité aux consignes : </w:t>
      </w:r>
      <w:r>
        <w:t xml:space="preserve">la fiche stack autorise explicitement « Données = Airtable OU Supabase ». Le choix Supabase en Option A est un montage hybride permis, à confirmer au follow-up du 25/06.</w:t>
      </w:r>
    </w:p>
    <w:p>
      <w:pPr>
        <w:pStyle w:val="Heading1"/>
      </w:pPr>
      <w:r>
        <w:t xml:space="preserve">5. Dashboard de pilotage : page custom dans l’app (lit Supabase)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Une route /admin (React/Next) qui lit Supabase, avec quelques cartes KPI et une table filtrable, mises à jour en temps réel (realtime).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Intégré à notre application et à notre authentification ; KPIs actionnables pour la direction (leads, devis, conversion, relances, délais).</w:t>
      </w:r>
    </w:p>
    <w:p>
      <w:pPr>
        <w:spacing w:after="100"/>
      </w:pPr>
      <w:r>
        <w:rPr>
          <w:b/>
          <w:bCs/>
          <w:color w:val="0A5346"/>
        </w:rPr>
        <w:t xml:space="preserve">Alternative écartée : </w:t>
      </w:r>
      <w:r>
        <w:t xml:space="preserve">L’Interface Airtable (no-code) — écartée avec le choix Supabase.</w:t>
      </w:r>
    </w:p>
    <w:p>
      <w:pPr>
        <w:spacing w:after="100"/>
      </w:pPr>
      <w:r>
        <w:rPr>
          <w:b/>
          <w:bCs/>
          <w:color w:val="0A5346"/>
        </w:rPr>
        <w:t xml:space="preserve">Compromis assumé : </w:t>
      </w:r>
      <w:r>
        <w:t xml:space="preserve">À coder, donc gardé volontairement minimal pour tenir la semaine.</w:t>
      </w:r>
    </w:p>
    <w:p>
      <w:pPr>
        <w:pStyle w:val="Heading1"/>
      </w:pPr>
      <w:r>
        <w:t xml:space="preserve">6. Authentification : Supabase Auth + RLS (admin et lead)</w:t>
      </w:r>
    </w:p>
    <w:p>
      <w:pPr>
        <w:spacing w:after="100"/>
      </w:pPr>
      <w:r>
        <w:rPr>
          <w:b/>
          <w:bCs/>
          <w:color w:val="0A5346"/>
        </w:rPr>
        <w:t xml:space="preserve">Besoin / contexte : </w:t>
      </w:r>
      <w:r>
        <w:t xml:space="preserve">Un espace admin pour la direction/les commerciaux, et — en différenciateur — un espace de connexion pour les leads.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Supabase Auth (magic link), sécurisé par Row Level Security : chaque utilisateur ne voit que ses données.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Solution clé en main, sécurisée au niveau base, qui couvre d’un seul mécanisme l’admin et le portail client.</w:t>
      </w:r>
    </w:p>
    <w:p>
      <w:pPr>
        <w:spacing w:after="100"/>
      </w:pPr>
      <w:r>
        <w:rPr>
          <w:b/>
          <w:bCs/>
          <w:color w:val="0A5346"/>
        </w:rPr>
        <w:t xml:space="preserve">Compromis assumé : </w:t>
      </w:r>
      <w:r>
        <w:t xml:space="preserve">Stocker des comptes = données personnelles → privacy by design, minimisation, consentement, et données fictives en démonstration.</w:t>
      </w:r>
    </w:p>
    <w:p>
      <w:pPr>
        <w:pBdr>
          <w:left w:val="single" w:color="0E7A66" w:sz="18" w:space="8"/>
        </w:pBdr>
        <w:shd w:fill="F2F8F6" w:val="clear"/>
        <w:spacing w:after="160" w:before="60"/>
      </w:pPr>
      <w:r>
        <w:rPr>
          <w:b/>
          <w:bCs/>
          <w:color w:val="0A5346"/>
        </w:rPr>
        <w:t xml:space="preserve">En une phrase (soutenance) : </w:t>
      </w:r>
      <w:r>
        <w:t xml:space="preserve">Un seul système d’authentification gère l’admin ET l’espace client, sécurisé par RLS.</w:t>
      </w:r>
    </w:p>
    <w:p>
      <w:pPr>
        <w:pStyle w:val="Heading1"/>
      </w:pPr>
      <w:r>
        <w:t xml:space="preserve">7. Portail lead (connexion prospect) — différenciateur</w:t>
      </w:r>
    </w:p>
    <w:p>
      <w:pPr>
        <w:spacing w:after="100"/>
      </w:pPr>
      <w:r>
        <w:rPr>
          <w:b/>
          <w:bCs/>
          <w:color w:val="0A5346"/>
        </w:rPr>
        <w:t xml:space="preserve">Besoin / contexte : </w:t>
      </w:r>
      <w:r>
        <w:t xml:space="preserve">Permettre au prospect de suivre l’avancement de ses devis et de retrouver son historique de conversation.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Un espace /espace-client (connexion magic link) listant ses devis (statut, PDF) et ses échanges.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Transparence et réassurance (valeurs de NeoTravel), et réduction des relances : le lead suit lui-même son dossier. Rare chez un intermédiaire.</w:t>
      </w:r>
    </w:p>
    <w:p>
      <w:pPr>
        <w:spacing w:after="100"/>
      </w:pPr>
      <w:r>
        <w:rPr>
          <w:b/>
          <w:bCs/>
          <w:color w:val="0A5346"/>
        </w:rPr>
        <w:t xml:space="preserve">Alternative écartée : </w:t>
      </w:r>
      <w:r>
        <w:t xml:space="preserve">Aucun espace client (suivi uniquement par email).</w:t>
      </w:r>
    </w:p>
    <w:p>
      <w:pPr>
        <w:spacing w:after="100"/>
      </w:pPr>
      <w:r>
        <w:rPr>
          <w:b/>
          <w:bCs/>
          <w:color w:val="0A5346"/>
        </w:rPr>
        <w:t xml:space="preserve">Compromis assumé : </w:t>
      </w:r>
      <w:r>
        <w:t xml:space="preserve">Fonctionnalité bonus (P2), gardée légère pour ne pas déborder la semaine ; vigilance RGPD renforcée.</w:t>
      </w:r>
    </w:p>
    <w:p>
      <w:pPr>
        <w:pBdr>
          <w:left w:val="single" w:color="0E7A66" w:sz="18" w:space="8"/>
        </w:pBdr>
        <w:shd w:fill="F2F8F6" w:val="clear"/>
        <w:spacing w:after="160" w:before="60"/>
      </w:pPr>
      <w:r>
        <w:rPr>
          <w:b/>
          <w:bCs/>
          <w:color w:val="0A5346"/>
        </w:rPr>
        <w:t xml:space="preserve">En une phrase (soutenance) : </w:t>
      </w:r>
      <w:r>
        <w:t xml:space="preserve">Le lead se connecte et suit ses devis et ses conversations — un vrai plus relationnel.</w:t>
      </w:r>
    </w:p>
    <w:p>
      <w:pPr>
        <w:pStyle w:val="Heading1"/>
      </w:pPr>
      <w:r>
        <w:t xml:space="preserve">8. Modèle LLM : OpenAI gpt-4o-mini</w:t>
      </w:r>
    </w:p>
    <w:p>
      <w:pPr>
        <w:spacing w:after="100"/>
      </w:pPr>
      <w:r>
        <w:rPr>
          <w:b/>
          <w:bCs/>
          <w:color w:val="0A5346"/>
        </w:rPr>
        <w:t xml:space="preserve">Besoin / contexte : </w:t>
      </w:r>
      <w:r>
        <w:t xml:space="preserve">Un modèle pour qualifier, extraire des paramètres structurés et reformuler — pas pour calculer.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gpt-4o-mini (avec Gemini Flash / Claude Haiku en plan B).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Coût très faible (le crédit 10-15 € tient des milliers de tests), sorties structurées strictes (JSON Schema) fiables, latence basse, intégration n8n bien documentée.</w:t>
      </w:r>
    </w:p>
    <w:p>
      <w:pPr>
        <w:spacing w:after="100"/>
      </w:pPr>
      <w:r>
        <w:rPr>
          <w:b/>
          <w:bCs/>
          <w:color w:val="0A5346"/>
        </w:rPr>
        <w:t xml:space="preserve">Alternative écartée : </w:t>
      </w:r>
      <w:r>
        <w:t xml:space="preserve">Un modèle haut de gamme (GPT-4o, Claude Sonnet) : coût et latence plus élevés, risque d’épuiser le crédit.</w:t>
      </w:r>
    </w:p>
    <w:p>
      <w:pPr>
        <w:pBdr>
          <w:left w:val="single" w:color="0E7A66" w:sz="18" w:space="8"/>
        </w:pBdr>
        <w:shd w:fill="F2F8F6" w:val="clear"/>
        <w:spacing w:after="160" w:before="60"/>
      </w:pPr>
      <w:r>
        <w:rPr>
          <w:b/>
          <w:bCs/>
          <w:color w:val="0A5346"/>
        </w:rPr>
        <w:t xml:space="preserve">En une phrase (soutenance) : </w:t>
      </w:r>
      <w:r>
        <w:t xml:space="preserve">Le meilleur modèle n’est pas le plus puissant, c’est le plus adapté au bon coût.</w:t>
      </w:r>
    </w:p>
    <w:p>
      <w:pPr>
        <w:pStyle w:val="Heading1"/>
      </w:pPr>
      <w:r>
        <w:t xml:space="preserve">9. Relances &amp; automatisation : n8n (Schedule + webhooks)</w:t>
      </w:r>
    </w:p>
    <w:p>
      <w:pPr>
        <w:spacing w:after="100"/>
      </w:pPr>
      <w:r>
        <w:rPr>
          <w:b/>
          <w:bCs/>
          <w:color w:val="0A5346"/>
        </w:rPr>
        <w:t xml:space="preserve">Besoin / contexte : </w:t>
      </w:r>
      <w:r>
        <w:t xml:space="preserve">Relancer J+2 (urgent), J+3 puis J+7 (standard), au maximum 2 fois, sans doublon.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Workflows n8n (Schedule Trigger) déclenchés par les statuts, avec écriture/lecture Supabase (Database Webhooks possibles).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Planification simple et robuste ; idempotence assurée par une clé + contrainte d’unicité pour éviter les relances en double.</w:t>
      </w:r>
    </w:p>
    <w:p>
      <w:pPr>
        <w:pBdr>
          <w:left w:val="single" w:color="0E7A66" w:sz="18" w:space="8"/>
        </w:pBdr>
        <w:shd w:fill="F2F8F6" w:val="clear"/>
        <w:spacing w:after="160" w:before="60"/>
      </w:pPr>
      <w:r>
        <w:rPr>
          <w:b/>
          <w:bCs/>
          <w:color w:val="0A5346"/>
        </w:rPr>
        <w:t xml:space="preserve">En une phrase (soutenance) : </w:t>
      </w:r>
      <w:r>
        <w:t xml:space="preserve">Les relances sont planifiées et dédupliquées par n8n, jamais oubliées ni envoyées deux fois.</w:t>
      </w:r>
    </w:p>
    <w:p>
      <w:pPr>
        <w:pStyle w:val="Heading1"/>
      </w:pPr>
      <w:r>
        <w:t xml:space="preserve">10. Canal de relance : email (Resend/Brevo) plutôt que WhatsApp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Email par défaut via Resend ou Brevo.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Gratuit et trivial à brancher. L’API WhatsApp officielle implique un coût et une vérification Meta — hors périmètre d’une semaine.</w:t>
      </w:r>
    </w:p>
    <w:p>
      <w:pPr>
        <w:spacing w:after="100"/>
      </w:pPr>
      <w:r>
        <w:rPr>
          <w:b/>
          <w:bCs/>
          <w:color w:val="0A5346"/>
        </w:rPr>
        <w:t xml:space="preserve">Alternative écartée : </w:t>
      </w:r>
      <w:r>
        <w:t xml:space="preserve">WhatsApp Business API — renvoyé en évolution future.</w:t>
      </w:r>
    </w:p>
    <w:p>
      <w:pPr>
        <w:pBdr>
          <w:left w:val="single" w:color="0E7A66" w:sz="18" w:space="8"/>
        </w:pBdr>
        <w:shd w:fill="F2F8F6" w:val="clear"/>
        <w:spacing w:after="160" w:before="60"/>
      </w:pPr>
      <w:r>
        <w:rPr>
          <w:b/>
          <w:bCs/>
          <w:color w:val="0A5346"/>
        </w:rPr>
        <w:t xml:space="preserve">En une phrase (soutenance) : </w:t>
      </w:r>
      <w:r>
        <w:t xml:space="preserve">Email pour le MVP ; WhatsApp serait une évolution, pas une priorité.</w:t>
      </w:r>
    </w:p>
    <w:p>
      <w:pPr>
        <w:pStyle w:val="Heading1"/>
      </w:pPr>
      <w:r>
        <w:t xml:space="preserve">11. Captation : landing conversationnelle plutôt que formulaire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Une interface où la conversation est centrale (inspiration Mindtrip.ai), pas un widget en coin.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Meilleur taux de complétion, données plus riches et plus fiables, expérience plus humaine — le prospect se sent écouté, pas traité.</w:t>
      </w:r>
    </w:p>
    <w:p>
      <w:pPr>
        <w:spacing w:after="100"/>
      </w:pPr>
      <w:r>
        <w:rPr>
          <w:b/>
          <w:bCs/>
          <w:color w:val="0A5346"/>
        </w:rPr>
        <w:t xml:space="preserve">Alternative écartée : </w:t>
      </w:r>
      <w:r>
        <w:t xml:space="preserve">Un formulaire classique (reste un fallback acceptable et justifiable pour les champs obligatoires).</w:t>
      </w:r>
    </w:p>
    <w:p>
      <w:pPr>
        <w:pBdr>
          <w:left w:val="single" w:color="0E7A66" w:sz="18" w:space="8"/>
        </w:pBdr>
        <w:shd w:fill="F2F8F6" w:val="clear"/>
        <w:spacing w:after="160" w:before="60"/>
      </w:pPr>
      <w:r>
        <w:rPr>
          <w:b/>
          <w:bCs/>
          <w:color w:val="0A5346"/>
        </w:rPr>
        <w:t xml:space="preserve">En une phrase (soutenance) : </w:t>
      </w:r>
      <w:r>
        <w:t xml:space="preserve">On remplace le formulaire par une conversation qui guide, reformule et qualifie.</w:t>
      </w:r>
    </w:p>
    <w:p>
      <w:pPr>
        <w:pStyle w:val="Heading1"/>
      </w:pPr>
      <w:r>
        <w:t xml:space="preserve">12. Human-in-the-loop : garder l’humain dans la boucle</w:t>
      </w:r>
    </w:p>
    <w:p>
      <w:pPr>
        <w:spacing w:after="100"/>
      </w:pPr>
      <w:r>
        <w:rPr>
          <w:b/>
          <w:bCs/>
          <w:color w:val="0A5346"/>
        </w:rPr>
        <w:t xml:space="preserve">Besoin / contexte : </w:t>
      </w:r>
      <w:r>
        <w:t xml:space="preserve">Digitaliser sans déshumaniser : préserver le conseil, la négociation et les cas complexes.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Des points de validation/escalade : devis hors seuils, cas atypiques, faible certitude ou données incomplètes → reprise humaine avec contexte.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Un devis inhabituel ou un cas ambigu ne doit pas être « résolu » par une invention ; un handoff au bon moment est un signe de fiabilité, pas un échec.</w:t>
      </w:r>
    </w:p>
    <w:p>
      <w:pPr>
        <w:pBdr>
          <w:left w:val="single" w:color="0E7A66" w:sz="18" w:space="8"/>
        </w:pBdr>
        <w:shd w:fill="F2F8F6" w:val="clear"/>
        <w:spacing w:after="160" w:before="60"/>
      </w:pPr>
      <w:r>
        <w:rPr>
          <w:b/>
          <w:bCs/>
          <w:color w:val="0A5346"/>
        </w:rPr>
        <w:t xml:space="preserve">En une phrase (soutenance) : </w:t>
      </w:r>
      <w:r>
        <w:t xml:space="preserve">L’agent prépare la décision ; l’humain décide, négocie et engage NeoTravel.</w:t>
      </w:r>
    </w:p>
    <w:p>
      <w:pPr>
        <w:pStyle w:val="Heading1"/>
      </w:pPr>
      <w:r>
        <w:t xml:space="preserve">13. Hébergement : Vercel (front) + n8n (tunnel accepté en démo)</w:t>
      </w:r>
    </w:p>
    <w:p>
      <w:pPr>
        <w:spacing w:after="100"/>
      </w:pPr>
      <w:r>
        <w:rPr>
          <w:b/>
          <w:bCs/>
          <w:color w:val="0A5346"/>
        </w:rPr>
        <w:t xml:space="preserve">Choix retenu : </w:t>
      </w:r>
      <w:r>
        <w:t xml:space="preserve">Front déployé sur Vercel ; agent n8n joignable via tunnel local pendant la démo (hébergement complet = bonus).</w:t>
      </w:r>
    </w:p>
    <w:p>
      <w:pPr>
        <w:spacing w:after="100"/>
      </w:pPr>
      <w:r>
        <w:rPr>
          <w:b/>
          <w:bCs/>
          <w:color w:val="0A5346"/>
        </w:rPr>
        <w:t xml:space="preserve">Pourquoi : </w:t>
      </w:r>
      <w:r>
        <w:t xml:space="preserve">Déploiement front gratuit et instantané ; le tunnel local est explicitement accepté par les consignes pour la démonstration.</w:t>
      </w:r>
    </w:p>
    <w:p>
      <w:pPr>
        <w:spacing w:after="100"/>
      </w:pPr>
      <w:r>
        <w:rPr>
          <w:b/>
          <w:bCs/>
          <w:color w:val="0A5346"/>
        </w:rPr>
        <w:t xml:space="preserve">Compromis assumé : </w:t>
      </w:r>
      <w:r>
        <w:t xml:space="preserve">Hébergement complet de la stack (n8n Cloud/VPS) renvoyé en bonus.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NeoTravel · Argumentaire des choix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A66" w:sz="6" w:space="4"/>
      </w:pBdr>
      <w:spacing w:after="120" w:before="260"/>
      <w:outlineLvl w:val="0"/>
    </w:pPr>
    <w:rPr>
      <w:rFonts w:ascii="Arial" w:cs="Arial" w:eastAsia="Arial" w:hAnsi="Arial"/>
      <w:b/>
      <w:bCs/>
      <w:color w:val="0E7A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0A53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b2da73b3f15b947105ffc89012fc45f431bca9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Argumentaire des choix — NeoTravel</dc:title>
  <dc:creator>Équipe NeoTravel</dc:creator>
  <cp:lastModifiedBy>Un-named</cp:lastModifiedBy>
  <cp:revision>1</cp:revision>
  <dcterms:created xsi:type="dcterms:W3CDTF">2026-06-23T08:39:34.814Z</dcterms:created>
  <dcterms:modified xsi:type="dcterms:W3CDTF">2026-06-23T08:39:34.815Z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