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ARGUMENTAIRE DES CHOIX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Défense des choix techniques — support de soutenance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: Axel MOMPER · Vincent CONTER · Zakaria TOUAMI</w:t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Document annexe au dossier de cadrage · sert aussi de journal de décisions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00"/>
      </w:pPr>
      <w:r>
        <w:t xml:space="preserve">Ce document justifie chaque décision structurante du projet : le besoin, le choix retenu, les alternatives écartées et le compromis assumé. Il sert de support à la </w:t>
      </w:r>
      <w:r>
        <w:rPr>
          <w:b/>
          <w:bCs/>
        </w:rPr>
        <w:t xml:space="preserve">défense des choix en soutenance (Bloc C)</w:t>
      </w:r>
      <w:r>
        <w:t xml:space="preserve"> et de </w:t>
      </w:r>
      <w:r>
        <w:rPr>
          <w:b/>
          <w:bCs/>
        </w:rPr>
        <w:t xml:space="preserve">journal de décisions</w:t>
      </w:r>
      <w:r>
        <w:t xml:space="preserve"> (démarche Agile).</w:t>
      </w:r>
    </w:p>
    <w:p>
      <w:pPr>
        <w:pStyle w:val="Heading1"/>
      </w:pPr>
      <w:r>
        <w:t xml:space="preserve">1. Automatiser toute la chaîne (pas un simple chatbot)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NeoTravel reçoit ~60 leads/jour sous-exploités ; le sujet est tout le cycle commercial, pas un assistant conversationnel.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 prototype couvrant les 10 fonctions, de la captation au dashboard.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Un chatbot seul ne répond pas au besoin (piège n°1 de la FAQ). La cohérence de la chaîne prime sur la perfection d’un maillon.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Un chatbot isolé sans process derrière (base, calcul, devis, relances, statuts).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Chaque brique reste volontairement basique pour couvrir toute la chaîne dans la semaine.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On n’a pas fait un chatbot — on a automatisé le cycle commercial de bout en bout.</w:t>
      </w:r>
    </w:p>
    <w:p>
      <w:pPr>
        <w:pStyle w:val="Heading1"/>
      </w:pPr>
      <w:r>
        <w:t xml:space="preserve">2. Tarification déterministe : calculer_devis(), jamais le LLM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Un devis engage commercialement NeoTravel : il doit être exact, reproductible et auditable.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 moteur de règles en code (calculer_devis()), construit et testé en isolation, exposé comme outil que l’agent appelle.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Un LLM peut halluciner un prix, varier d’un appel à l’autre et n’est pas auditable ; il est aussi manipulable par injection de prompt. Le code, lui, ne négocie pas.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Laisser l’IA estimer/calculer le prix en langage naturel.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Aucun réel : c’est la règle d’or du sujet. Le coût est seulement de bien documenter les règles.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Le LLM décide quoi faire ; le code calcule le prix — toujours, de façon auditable.</w:t>
      </w:r>
    </w:p>
    <w:p>
      <w:pPr>
        <w:pStyle w:val="Heading1"/>
      </w:pPr>
      <w:r>
        <w:t xml:space="preserve">3. Orchestration : Option A (n8n au cœur)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Orchestrer l’agent, ses outils et les relances, avec une équipe globalement peu à l’aise en code.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Le nœud AI Agent de n8n comme cerveau ; le front n’est qu’une UI branchée sur un webhook n8n.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Orchestration visuelle, courbe d’apprentissage douce, relances natives (Schedule Trigger), résultat solide rapidement.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Tout coder dans le front (Option B, Vercel AI SDK) : plus exigeant, état conversationnel à gérer.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Part de code « agent » plus mince et UI 100 % sur-mesure à intégrer via webhook. On garde le cerveau dans n8n pour ne pas dupliquer la logique.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n8n nous donne un agent fiable rapidement, sans réécrire un orchestrateur.</w:t>
      </w:r>
    </w:p>
    <w:p>
      <w:pPr>
        <w:pStyle w:val="Heading1"/>
      </w:pPr>
      <w:r>
        <w:t xml:space="preserve">4. Données : Supabase plutôt qu’Airtable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Stocker demandes, devis, relances et matrices ; piloter l’activité ; et — point clé — nous développons déjà une interface (landing + chatbot), donc un espace /admin et un espace client sont à portée de main.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Supabase (PostgreSQL managé) avec Auth et Row Level Security intégrés ; dashboard et portail codés dans la même app Next.js.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Vraie base relationnelle (relations, SQL, contraintes), authentification et sécurité par ligne (RLS) intégrées, triggers / Database Webhooks / realtime, et familiarité de l’équipe. Comme le front existe de toute façon, le dashboard custom n’est plus un surcoût mais une simple route.</w:t>
      </w:r>
    </w:p>
    <w:p>
      <w:pPr>
        <w:spacing w:after="100"/>
      </w:pPr>
      <w:r>
        <w:rPr>
          <w:b/>
          <w:bCs/>
        </w:rPr>
        <w:t xml:space="preserve">Comparaison Supabase vs Airtable 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Critère</w:t>
            </w:r>
          </w:p>
        </w:tc>
        <w:tc>
          <w:tcPr>
            <w:tcW w:type="dxa" w:w="3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Airtable</w:t>
            </w:r>
          </w:p>
        </w:tc>
        <w:tc>
          <w:tcPr>
            <w:tcW w:type="dxa" w:w="3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Supabase (retenu)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de pilotage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Interface no-code gratuite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Page React/Next dans notre app (à coder, mais l’app existe déjà)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Authentification applicative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Non intégrée à notre app</w:t>
            </w:r>
          </w:p>
        </w:tc>
        <w:tc>
          <w:tcPr>
            <w:tcW w:type="dxa" w:w="3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Auth (admin + portail lead) clé en main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Sécurité par utilisateur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Partages limités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Row Level Security (chacun voit ses données)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 de données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Tableur amélioré, quotas API</w:t>
            </w:r>
          </w:p>
        </w:tc>
        <w:tc>
          <w:tcPr>
            <w:tcW w:type="dxa" w:w="3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PostgreSQL réel : relations, SQL, triggers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Automatisation DB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Automations basiques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Triggers, Database Webhooks → n8n, realtime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Familiarité équipe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Jamais utilisé</w:t>
            </w:r>
          </w:p>
        </w:tc>
        <w:tc>
          <w:tcPr>
            <w:tcW w:type="dxa" w:w="3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Déjà pratiqué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Valorisation soutenance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Prototype no-code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Stack pro et transférable</w:t>
            </w:r>
          </w:p>
        </w:tc>
      </w:tr>
    </w:tbl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Airtable + son Interface no-code : dashboard gratuit, mais pas d’authentification intégrée à notre application, base de type tableur (relations et quotas limités), et impossibilité d’offrir un espace de connexion lead dans notre interface.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On code le dashboard et le portail — mais c’est marginal puisque l’app front est déjà nécessaire ; cela concentre toutefois du développement sur le profil codeur de l’équipe (dashboard gardé minimal).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Comme on développe déjà l’interface, Supabase réunit base + authentification + dashboard + portail client dans une seule stack cohérente.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Conformité aux consignes : </w:t>
      </w:r>
      <w:r>
        <w:t xml:space="preserve">la fiche stack autorise explicitement « Données = Airtable OU Supabase ». Le choix Supabase en Option A est un montage hybride permis, à confirmer au follow-up du 25/06.</w:t>
      </w:r>
    </w:p>
    <w:p>
      <w:pPr>
        <w:pStyle w:val="Heading1"/>
      </w:pPr>
      <w:r>
        <w:t xml:space="preserve">5. Dashboard de pilotage : page custom dans l’app (lit Supabase)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Une route /admin (React/Next) qui lit Supabase, avec quelques cartes KPI et une table filtrable, mises à jour en temps réel (realtime).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Intégré à notre application et à notre authentification ; KPIs actionnables pour la direction (leads, devis, conversion, relances, délais).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L’Interface Airtable (no-code) — écartée avec le choix Supabase.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À coder, donc gardé volontairement minimal pour tenir la semaine.</w:t>
      </w:r>
    </w:p>
    <w:p>
      <w:pPr>
        <w:pStyle w:val="Heading1"/>
      </w:pPr>
      <w:r>
        <w:t xml:space="preserve">6. Authentification : Supabase Auth + RLS (admin et lead)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Un espace admin pour la direction/les commerciaux, et — en différenciateur — un espace de connexion pour les leads.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Supabase Auth (magic link), sécurisé par Row Level Security : chaque utilisateur ne voit que ses données.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Solution clé en main, sécurisée au niveau base, qui couvre d’un seul mécanisme l’admin et le portail client.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Stocker des comptes = données personnelles → privacy by design, minimisation, consentement, et données fictives en démonstration.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Un seul système d’authentification gère l’admin ET l’espace client, sécurisé par RLS.</w:t>
      </w:r>
    </w:p>
    <w:p>
      <w:pPr>
        <w:pStyle w:val="Heading1"/>
      </w:pPr>
      <w:r>
        <w:t xml:space="preserve">7. Portail lead (connexion prospect) — différenciateur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Permettre au prospect de suivre l’avancement de ses devis et de retrouver son historique de conversation.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 espace /espace-client (connexion magic link) listant ses devis (statut, PDF) et ses échanges.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Transparence et réassurance (valeurs de NeoTravel), et réduction des relances : le lead suit lui-même son dossier. Rare chez un intermédiaire.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Aucun espace client (suivi uniquement par email).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Fonctionnalité bonus (P2), gardée légère pour ne pas déborder la semaine ; vigilance RGPD renforcée.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Le lead se connecte et suit ses devis et ses conversations — un vrai plus relationnel.</w:t>
      </w:r>
    </w:p>
    <w:p>
      <w:pPr>
        <w:pStyle w:val="Heading1"/>
      </w:pPr>
      <w:r>
        <w:t xml:space="preserve">8. Modèle LLM : OpenAI gpt-4o-mini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Un modèle pour qualifier, extraire des paramètres structurés et reformuler — pas pour calculer.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gpt-4o-mini (avec Gemini Flash / Claude Haiku en plan B).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Coût très faible (le crédit 10-15 € tient des milliers de tests), sorties structurées strictes (JSON Schema) fiables, latence basse, intégration n8n bien documentée.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Un modèle haut de gamme (GPT-4o, Claude Sonnet) : coût et latence plus élevés, risque d’épuiser le crédit.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Le meilleur modèle n’est pas le plus puissant, c’est le plus adapté au bon coût.</w:t>
      </w:r>
    </w:p>
    <w:p>
      <w:pPr>
        <w:pStyle w:val="Heading1"/>
      </w:pPr>
      <w:r>
        <w:t xml:space="preserve">9. Relances &amp; automatisation : n8n (Schedule + webhooks)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Relancer J+2 (urgent), J+3 puis J+7 (standard), au maximum 2 fois, sans doublon.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Workflows n8n (Schedule Trigger) déclenchés par les statuts, avec écriture/lecture Supabase (Database Webhooks possibles).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Planification simple et robuste ; idempotence assurée par une clé + contrainte d’unicité pour éviter les relances en double.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Les relances sont planifiées et dédupliquées par n8n, jamais oubliées ni envoyées deux fois.</w:t>
      </w:r>
    </w:p>
    <w:p>
      <w:pPr>
        <w:pStyle w:val="Heading1"/>
      </w:pPr>
      <w:r>
        <w:t xml:space="preserve">10. Canal de relance : email (Resend/Brevo) plutôt que WhatsApp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Email par défaut via Resend ou Brevo.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Gratuit et trivial à brancher. L’API WhatsApp officielle implique un coût et une vérification Meta — hors périmètre d’une semaine.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WhatsApp Business API — renvoyé en évolution future.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Email pour le MVP ; WhatsApp serait une évolution, pas une priorité.</w:t>
      </w:r>
    </w:p>
    <w:p>
      <w:pPr>
        <w:pStyle w:val="Heading1"/>
      </w:pPr>
      <w:r>
        <w:t xml:space="preserve">11. Captation : landing conversationnelle plutôt que formulaire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Une interface où la conversation est centrale (inspiration Mindtrip.ai), pas un widget en coin.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Meilleur taux de complétion, données plus riches et plus fiables, expérience plus humaine — le prospect se sent écouté, pas traité.</w:t>
      </w:r>
    </w:p>
    <w:p>
      <w:pPr>
        <w:spacing w:after="100"/>
      </w:pPr>
      <w:r>
        <w:rPr>
          <w:b/>
          <w:bCs/>
          <w:color w:val="0A5346"/>
        </w:rPr>
        <w:t xml:space="preserve">Alternative écartée : </w:t>
      </w:r>
      <w:r>
        <w:t xml:space="preserve">Un formulaire classique (reste un fallback acceptable et justifiable pour les champs obligatoires).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On remplace le formulaire par une conversation qui guide, reformule et qualifie.</w:t>
      </w:r>
    </w:p>
    <w:p>
      <w:pPr>
        <w:pStyle w:val="Heading1"/>
      </w:pPr>
      <w:r>
        <w:t xml:space="preserve">12. Human-in-the-loop : garder l’humain dans la boucle</w:t>
      </w:r>
    </w:p>
    <w:p>
      <w:pPr>
        <w:spacing w:after="100"/>
      </w:pPr>
      <w:r>
        <w:rPr>
          <w:b/>
          <w:bCs/>
          <w:color w:val="0A5346"/>
        </w:rPr>
        <w:t xml:space="preserve">Besoin / contexte : </w:t>
      </w:r>
      <w:r>
        <w:t xml:space="preserve">Digitaliser sans déshumaniser : préserver le conseil, la négociation et les cas complexes.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Des points de validation/escalade : devis hors seuils, cas atypiques, faible certitude ou données incomplètes → reprise humaine avec contexte.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Un devis inhabituel ou un cas ambigu ne doit pas être « résolu » par une invention ; un handoff au bon moment est un signe de fiabilité, pas un échec.</w:t>
      </w:r>
    </w:p>
    <w:p>
      <w:pPr>
        <w:pBdr>
          <w:left w:val="single" w:color="0E7A66" w:sz="18" w:space="8"/>
        </w:pBdr>
        <w:shd w:fill="F2F8F6" w:val="clear"/>
        <w:spacing w:after="160" w:before="60"/>
      </w:pPr>
      <w:r>
        <w:rPr>
          <w:b/>
          <w:bCs/>
          <w:color w:val="0A5346"/>
        </w:rPr>
        <w:t xml:space="preserve">En une phrase (soutenance) : </w:t>
      </w:r>
      <w:r>
        <w:t xml:space="preserve">L’agent prépare la décision ; l’humain décide, négocie et engage NeoTravel.</w:t>
      </w:r>
    </w:p>
    <w:p>
      <w:pPr>
        <w:pStyle w:val="Heading1"/>
      </w:pPr>
      <w:r>
        <w:t xml:space="preserve">13. Hébergement : Vercel (front) + n8n (tunnel accepté en démo)</w:t>
      </w:r>
    </w:p>
    <w:p>
      <w:pPr>
        <w:spacing w:after="100"/>
      </w:pPr>
      <w:r>
        <w:rPr>
          <w:b/>
          <w:bCs/>
          <w:color w:val="0A5346"/>
        </w:rPr>
        <w:t xml:space="preserve">Choix retenu : </w:t>
      </w:r>
      <w:r>
        <w:t xml:space="preserve">Front déployé sur Vercel ; agent n8n joignable via tunnel local pendant la démo (hébergement complet = bonus).</w:t>
      </w:r>
    </w:p>
    <w:p>
      <w:pPr>
        <w:spacing w:after="100"/>
      </w:pPr>
      <w:r>
        <w:rPr>
          <w:b/>
          <w:bCs/>
          <w:color w:val="0A5346"/>
        </w:rPr>
        <w:t xml:space="preserve">Pourquoi : </w:t>
      </w:r>
      <w:r>
        <w:t xml:space="preserve">Déploiement front gratuit et instantané ; le tunnel local est explicitement accepté par les consignes pour la démonstration.</w:t>
      </w:r>
    </w:p>
    <w:p>
      <w:pPr>
        <w:spacing w:after="100"/>
      </w:pPr>
      <w:r>
        <w:rPr>
          <w:b/>
          <w:bCs/>
          <w:color w:val="0A5346"/>
        </w:rPr>
        <w:t xml:space="preserve">Compromis assumé : </w:t>
      </w:r>
      <w:r>
        <w:t xml:space="preserve">Hébergement complet de la stack (n8n Cloud/VPS) renvoyé en bonus.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Argumentaire des choix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20" w:before="260"/>
      <w:outlineLvl w:val="0"/>
    </w:pPr>
    <w:rPr>
      <w:rFonts w:ascii="Arial" w:cs="Arial" w:eastAsia="Arial" w:hAnsi="Arial"/>
      <w:b/>
      <w:bCs/>
      <w:color w:val="0E7A6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Arial" w:cs="Arial" w:eastAsia="Arial" w:hAnsi="Arial"/>
      <w:b/>
      <w:bCs/>
      <w:color w:val="0A534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Argumentaire des choix — NeoTravel</dc:title>
  <dc:creator>Équipe NeoTravel</dc:creator>
  <cp:lastModifiedBy>Un-named</cp:lastModifiedBy>
  <cp:revision>1</cp:revision>
  <dcterms:created xsi:type="dcterms:W3CDTF">2026-06-29T16:54:06.396Z</dcterms:created>
  <dcterms:modified xsi:type="dcterms:W3CDTF">2026-06-29T16:54:06.396Z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