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drawing>
          <wp:inline distT="0" distB="0" distL="0" distR="0">
            <wp:extent cx="2857500" cy="1581150"/>
            <wp:effectExtent t="0" r="0" b="0" l="0"/>
            <wp:docPr id="1" name="logo" descr="Logo NeoTravel" title="NeoTra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0"/>
        <w:jc w:val="center"/>
      </w:pPr>
      <w:r>
        <w:rPr>
          <w:b/>
          <w:bCs/>
          <w:color w:val="0E7A66"/>
          <w:sz w:val="52"/>
          <w:szCs w:val="52"/>
        </w:rPr>
        <w:t xml:space="preserve">DOCUMENTATION DE PASSATION</w:t>
      </w:r>
    </w:p>
    <w:p>
      <w:pPr>
        <w:spacing w:after="60"/>
        <w:jc w:val="center"/>
      </w:pPr>
      <w:r>
        <w:rPr>
          <w:color w:val="333333"/>
          <w:sz w:val="28"/>
          <w:szCs w:val="28"/>
        </w:rPr>
        <w:t xml:space="preserve">Procédure repreneur &amp; procédure équipes</w:t>
      </w:r>
    </w:p>
    <w:p>
      <w:pPr>
        <w:spacing w:after="400"/>
        <w:jc w:val="center"/>
      </w:pPr>
      <w:r>
        <w:rPr>
          <w:b/>
          <w:bCs/>
          <w:color w:val="0A5346"/>
          <w:sz w:val="28"/>
          <w:szCs w:val="28"/>
        </w:rPr>
        <w:t xml:space="preserve">NEO TRAVEL</w:t>
      </w:r>
    </w:p>
    <w:p>
      <w:pPr>
        <w:spacing w:after="40"/>
        <w:jc w:val="center"/>
      </w:pPr>
      <w:r>
        <w:rPr>
          <w:i/>
          <w:iCs/>
          <w:color w:val="666666"/>
          <w:sz w:val="24"/>
          <w:szCs w:val="24"/>
        </w:rPr>
        <w:t xml:space="preserve">Livrable 3 — Rendu du 29 juin 2026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Équipe projet : Axel MOMPER · Vincent CONTER · Zakaria TOUAMI</w:t>
      </w:r>
    </w:p>
    <w:p>
      <w:pPr>
        <w:jc w:val="center"/>
      </w:pPr>
      <w:r>
        <w:rPr>
          <w:color w:val="666666"/>
          <w:sz w:val="20"/>
          <w:szCs w:val="20"/>
        </w:rPr>
        <w:t xml:space="preserve">Cas d’étude MBA1 — NeoTravel · InterstellLabs</w:t>
      </w:r>
    </w:p>
    <w:p>
      <w:r>
        <w:br w:type="page"/>
      </w:r>
    </w:p>
    <w:p>
      <w:pPr>
        <w:spacing w:after="160"/>
      </w:pPr>
      <w:r>
        <w:rPr>
          <w:b/>
          <w:bCs/>
          <w:color w:val="0E7A66"/>
          <w:sz w:val="32"/>
          <w:szCs w:val="32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 &amp; mode d’emploi</w:t>
      </w:r>
    </w:p>
    <w:p>
      <w:pPr>
        <w:spacing w:after="120"/>
      </w:pPr>
      <w:r>
        <w:t xml:space="preserve">Cette documentation permet à la solution de </w:t>
      </w:r>
      <w:r>
        <w:rPr>
          <w:b/>
          <w:bCs/>
        </w:rPr>
        <w:t xml:space="preserve">vivre et d’évoluer sans ses créateurs</w:t>
      </w:r>
      <w:r>
        <w:t xml:space="preserve">. Elle s’organise en quatre parties complémentaires, chacune destinée à un public précis et résumées dans le tableau ci-dessous 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2900"/>
        <w:gridCol w:w="4060"/>
      </w:tblGrid>
      <w:tr>
        <w:trPr>
          <w:tblHeader/>
        </w:trPr>
        <w:tc>
          <w:tcPr>
            <w:tcW w:type="dxa" w:w="24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Partie</w:t>
            </w:r>
          </w:p>
        </w:tc>
        <w:tc>
          <w:tcPr>
            <w:tcW w:type="dxa" w:w="29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Pour qui</w:t>
            </w:r>
          </w:p>
        </w:tc>
        <w:tc>
          <w:tcPr>
            <w:tcW w:type="dxa" w:w="40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Contenu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— Repreneur technique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Développeur qui reprend le code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Orientation, lancement, carte du code, déploiement, tests</w:t>
            </w:r>
          </w:p>
        </w:tc>
      </w:tr>
      <w:tr>
        <w:tc>
          <w:tcPr>
            <w:tcW w:type="dxa" w:w="24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 — Équipe NeoTravel</w:t>
            </w:r>
          </w:p>
        </w:tc>
        <w:tc>
          <w:tcPr>
            <w:tcW w:type="dxa" w:w="29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Commerciaux &amp; direction</w:t>
            </w:r>
          </w:p>
        </w:tc>
        <w:tc>
          <w:tcPr>
            <w:tcW w:type="dxa" w:w="40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Vocabulaire simple + usage quotidien de l’outil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 — Maintenance courante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Développeur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Où modifier pricing, emails, statuts, relances</w:t>
            </w:r>
          </w:p>
        </w:tc>
      </w:tr>
      <w:tr>
        <w:tc>
          <w:tcPr>
            <w:tcW w:type="dxa" w:w="24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 — Évolutions</w:t>
            </w:r>
          </w:p>
        </w:tc>
        <w:tc>
          <w:tcPr>
            <w:tcW w:type="dxa" w:w="29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Équipe + direction</w:t>
            </w:r>
          </w:p>
        </w:tc>
        <w:tc>
          <w:tcPr>
            <w:tcW w:type="dxa" w:w="40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Backlog P1/P2/P3 et prochaines évolutions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A — Procédure « repreneur » (technique)</w:t>
      </w:r>
    </w:p>
    <w:p>
      <w:pPr>
        <w:pStyle w:val="Heading2"/>
      </w:pPr>
      <w:r>
        <w:t xml:space="preserve">A.1 Le projet en 30 secondes</w:t>
      </w:r>
    </w:p>
    <w:p>
      <w:pPr>
        <w:spacing w:after="120"/>
      </w:pPr>
      <w:r>
        <w:t xml:space="preserve">Application qui </w:t>
      </w:r>
      <w:r>
        <w:rPr>
          <w:b/>
          <w:bCs/>
        </w:rPr>
        <w:t xml:space="preserve">automatise le cycle commercial</w:t>
      </w:r>
      <w:r>
        <w:t xml:space="preserve"> d’un intermédiaire en transport de groupe : un chatbot qualifie le besoin → un devis chiffré automatiquement (règles fixes, jamais l’IA) → email + PDF → relances auto → dashboard. Stack : Next.js (Netlify) + Supabase + n8n/Gemma + Resend.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Règle d’or : </w:t>
      </w:r>
      <w:r>
        <w:t xml:space="preserve">l’IA comprend et oriente, mais le </w:t>
      </w:r>
      <w:r>
        <w:rPr>
          <w:b/>
          <w:bCs/>
          <w:color w:val="0A5346"/>
        </w:rPr>
        <w:t xml:space="preserve">prix vient toujours du code déterministe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calculerDevis</w:t>
      </w:r>
      <w:r>
        <w:t xml:space="preserve">), jamais du modèle de langage.</w:t>
      </w:r>
    </w:p>
    <w:p>
      <w:pPr>
        <w:pStyle w:val="Heading2"/>
      </w:pPr>
      <w:r>
        <w:t xml:space="preserve">A.2 Carte des documents</w:t>
      </w:r>
    </w:p>
    <w:p>
      <w:pPr>
        <w:spacing w:after="120"/>
      </w:pPr>
      <w:r>
        <w:t xml:space="preserve">Le tableau ci-dessous oriente vers le bon document selon ce que l’on cherche à faire, pour éviter de tout lire en bloc.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Tu veux…</w:t>
            </w:r>
          </w:p>
        </w:tc>
        <w:tc>
          <w:tcPr>
            <w:tcW w:type="dxa" w:w="51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Lis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Comprendre vite le projet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README.md</w:t>
            </w:r>
          </w:p>
        </w:tc>
      </w:tr>
      <w:tr>
        <w:tc>
          <w:tcPr>
            <w:tcW w:type="dxa" w:w="4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Voir les schémas (archi, parcours, BDD, statuts)</w:t>
            </w:r>
          </w:p>
        </w:tc>
        <w:tc>
          <w:tcPr>
            <w:tcW w:type="dxa" w:w="51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DIAGRAMMES.md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Comprendre le code (où modifier quoi)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DOC_TECHNIQUE.md</w:t>
            </w:r>
          </w:p>
        </w:tc>
      </w:tr>
      <w:tr>
        <w:tc>
          <w:tcPr>
            <w:tcW w:type="dxa" w:w="4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L’API en interactif</w:t>
            </w:r>
          </w:p>
        </w:tc>
        <w:tc>
          <w:tcPr>
            <w:tcW w:type="dxa" w:w="51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lancer le front → /docs (Swagger) ; ou npm run doc (TypeDoc)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 modèle de données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supabase/SCHEMA.md</w:t>
            </w:r>
          </w:p>
        </w:tc>
      </w:tr>
      <w:tr>
        <w:tc>
          <w:tcPr>
            <w:tcW w:type="dxa" w:w="4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Déployer / les coûts</w:t>
            </w:r>
          </w:p>
        </w:tc>
        <w:tc>
          <w:tcPr>
            <w:tcW w:type="dxa" w:w="51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DEPLOIEMENT.md · COUTS_ET_PROD.md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Tester que tout marche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RECETTE_END_TO_END.md</w:t>
            </w:r>
          </w:p>
        </w:tc>
      </w:tr>
      <w:tr>
        <w:tc>
          <w:tcPr>
            <w:tcW w:type="dxa" w:w="4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Monter l’agent n8n / le moteur de prix</w:t>
            </w:r>
          </w:p>
        </w:tc>
        <w:tc>
          <w:tcPr>
            <w:tcW w:type="dxa" w:w="51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n8n/README.md · pricing/README.md</w:t>
            </w:r>
          </w:p>
        </w:tc>
      </w:tr>
    </w:tbl>
    <w:p>
      <w:pPr>
        <w:pStyle w:val="Heading2"/>
      </w:pPr>
      <w:r>
        <w:t xml:space="preserve">A.3 Démarrer en local (5 min)</w:t>
      </w:r>
    </w:p>
    <w:p>
      <w:pPr>
        <w:shd w:fill="F4F4F4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# 1. Moteur de prix (aucune clé)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install &amp;&amp; npm test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2. Base : exécuter supabase/reset-complet.sql dans Supabase (SQL Editor)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3. Front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web &amp;&amp; cp .env.local.example .env.local   # remplir les clés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install &amp;&amp; npm run dev                   # http://localhost:3000</w:t>
      </w:r>
    </w:p>
    <w:p>
      <w:pPr>
        <w:shd w:fill="F4F4F4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# 4. Agent : importer n8n/agent-workflow.json (+ credential Gemini)</w:t>
      </w:r>
    </w:p>
    <w:p>
      <w:pPr>
        <w:spacing w:after="120"/>
      </w:pPr>
      <w:r>
        <w:t xml:space="preserve">Vérifs : </w:t>
      </w:r>
      <w:r>
        <w:rPr>
          <w:rFonts w:ascii="Consolas" w:cs="Consolas" w:eastAsia="Consolas" w:hAnsi="Consolas"/>
          <w:sz w:val="18"/>
          <w:szCs w:val="18"/>
        </w:rPr>
        <w:t xml:space="preserve">cd web &amp;&amp; npm run lint</w:t>
      </w:r>
      <w:r>
        <w:t xml:space="preserve"> (0) · </w:t>
      </w:r>
      <w:r>
        <w:rPr>
          <w:rFonts w:ascii="Consolas" w:cs="Consolas" w:eastAsia="Consolas" w:hAnsi="Consolas"/>
          <w:sz w:val="18"/>
          <w:szCs w:val="18"/>
        </w:rPr>
        <w:t xml:space="preserve">npx vitest run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npm run build</w:t>
      </w:r>
      <w:r>
        <w:t xml:space="preserve">.</w:t>
      </w:r>
    </w:p>
    <w:p>
      <w:pPr>
        <w:pStyle w:val="Heading2"/>
      </w:pPr>
      <w:r>
        <w:t xml:space="preserve">A.4 Les 5 choses à savoir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Prix déterministe : tout changement de tarif se fait dans pricing/matrices.js (+ table pricing_config), pas dans le LLM.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seul appel LLM : n8n n’appelle Gemma qu’une fois (extraction) ; le nœud Code calcule le prix ET rédige la réponse.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Sécurité : le navigateur n’a que la clé anon (RLS) ; les routes /api/* utilisent la service role côté serveur après vérification du token/rôle.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Emails serverless : on attend (await) la persistance avant de répondre dans /api/chat (sinon l’email ne partirait pas).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n8n en tunnel = choix MVP (0 €, PC allumé). Pour la prod 24/7 → n8n hébergé (voir COUTS_ET_PROD.md).</w:t>
      </w:r>
    </w:p>
    <w:p>
      <w:pPr>
        <w:pStyle w:val="Heading2"/>
      </w:pPr>
      <w:r>
        <w:t xml:space="preserve">A.5 Carte du code (où se trouve quoi)</w:t>
      </w:r>
    </w:p>
    <w:p>
      <w:pPr>
        <w:spacing w:after="120"/>
      </w:pPr>
      <w:r>
        <w:t xml:space="preserve">Le tableau suivant situe, dossier par dossier, où se trouve quoi dans le code, afin de localiser rapidement la partie à faire évoluer.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Dossier</w:t>
            </w:r>
          </w:p>
        </w:tc>
        <w:tc>
          <w:tcPr>
            <w:tcW w:type="dxa" w:w="71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Rôle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web/app/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Pages (landing, login, espace-client, admin, contact…)</w:t>
            </w:r>
          </w:p>
        </w:tc>
      </w:tr>
      <w:tr>
        <w:tc>
          <w:tcPr>
            <w:tcW w:type="dxa" w:w="2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web/app/api/</w:t>
            </w:r>
          </w:p>
        </w:tc>
        <w:tc>
          <w:tcPr>
            <w:tcW w:type="dxa" w:w="71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Toute la logique métier (chat, relances, admin-data, devis-pdf…)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web/lib/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Fonctions réutilisables &amp; testées (calculerDevis, distance, devisPdf, emailDevis, relances…)</w:t>
            </w:r>
          </w:p>
        </w:tc>
      </w:tr>
      <w:tr>
        <w:tc>
          <w:tcPr>
            <w:tcW w:type="dxa" w:w="2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pricing/</w:t>
            </w:r>
          </w:p>
        </w:tc>
        <w:tc>
          <w:tcPr>
            <w:tcW w:type="dxa" w:w="71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Moteur de devis déterministe (source de vérité) + tests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n8n/</w:t>
            </w:r>
          </w:p>
        </w:tc>
        <w:tc>
          <w:tcPr>
            <w:tcW w:type="dxa" w:w="7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Workflows de l’agent + générateur + guides</w:t>
            </w:r>
          </w:p>
        </w:tc>
      </w:tr>
      <w:tr>
        <w:tc>
          <w:tcPr>
            <w:tcW w:type="dxa" w:w="2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supabase/</w:t>
            </w:r>
          </w:p>
        </w:tc>
        <w:tc>
          <w:tcPr>
            <w:tcW w:type="dxa" w:w="71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Schéma SQL, resets, jeux de données, SCHEMA.md</w:t>
            </w:r>
          </w:p>
        </w:tc>
      </w:tr>
    </w:tbl>
    <w:p>
      <w:pPr>
        <w:pStyle w:val="Heading2"/>
      </w:pPr>
      <w:r>
        <w:t xml:space="preserve">A.6 Déploiement &amp; variables d’environnement</w:t>
      </w:r>
    </w:p>
    <w:p>
      <w:pPr>
        <w:spacing w:after="120"/>
      </w:pPr>
      <w:r>
        <w:t xml:space="preserve">Procédure complète dans </w:t>
      </w:r>
      <w:r>
        <w:rPr>
          <w:rFonts w:ascii="Consolas" w:cs="Consolas" w:eastAsia="Consolas" w:hAnsi="Consolas"/>
          <w:sz w:val="18"/>
          <w:szCs w:val="18"/>
        </w:rPr>
        <w:t xml:space="preserve">DEPLOIEMENT.md</w:t>
      </w:r>
      <w:r>
        <w:t xml:space="preserve">. Variables sur Netlify : Supabase (URL, anon, service_role), </w:t>
      </w:r>
      <w:r>
        <w:rPr>
          <w:rFonts w:ascii="Consolas" w:cs="Consolas" w:eastAsia="Consolas" w:hAnsi="Consolas"/>
          <w:sz w:val="18"/>
          <w:szCs w:val="18"/>
        </w:rPr>
        <w:t xml:space="preserve">N8N_WEBHOOK_URL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RESEND_API_KEY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EMAIL_FROM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CRON_SECRET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NEXT_PUBLIC_SITE_URL</w:t>
      </w:r>
      <w:r>
        <w:t xml:space="preserve">. La clé du LLM reste dans n8n.</w:t>
      </w:r>
    </w:p>
    <w:p>
      <w:r>
        <w:br w:type="page"/>
      </w:r>
    </w:p>
    <w:p>
      <w:pPr>
        <w:pStyle w:val="Heading1"/>
      </w:pPr>
      <w:r>
        <w:t xml:space="preserve">Partie B — Procédure « équipe NeoTravel »</w:t>
      </w:r>
    </w:p>
    <w:p>
      <w:pPr>
        <w:spacing w:after="120"/>
      </w:pPr>
      <w:r>
        <w:t xml:space="preserve">Cette partie s’adresse aux commerciaux et à la direction : elle explique le vocabulaire en mots simples, puis l’usage quotidien de l’outil. Aucune compétence technique requise.</w:t>
      </w:r>
    </w:p>
    <w:p>
      <w:pPr>
        <w:pStyle w:val="Heading2"/>
      </w:pPr>
      <w:r>
        <w:t xml:space="preserve">B.1 Les termes clés, expliqués simplement</w:t>
      </w:r>
    </w:p>
    <w:p>
      <w:pPr>
        <w:spacing w:after="120"/>
      </w:pPr>
      <w:r>
        <w:t xml:space="preserve">Le tableau ci-dessous traduit en mots simples les termes que l’on rencontre dans l’outil et la documentation, sans jargon technique.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Terme</w:t>
            </w:r>
          </w:p>
        </w:tc>
        <w:tc>
          <w:tcPr>
            <w:tcW w:type="dxa" w:w="63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En clair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Lead / demande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Un prospect qui exprime un besoin de transport.</w:t>
            </w:r>
          </w:p>
        </w:tc>
      </w:tr>
      <w:tr>
        <w:tc>
          <w:tcPr>
            <w:tcW w:type="dxa" w:w="30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 IA / chatbot</w:t>
            </w:r>
          </w:p>
        </w:tc>
        <w:tc>
          <w:tcPr>
            <w:tcW w:type="dxa" w:w="6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L’assistant qui discute avec le prospect et comprend son besoin. Il oriente, il ne fixe pas les prix.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Devis déterministe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 prix est calculé par des règles fixes (le « moteur »), pas par l’IA. Il est donc toujours juste et explicable.</w:t>
            </w:r>
          </w:p>
        </w:tc>
      </w:tr>
      <w:tr>
        <w:tc>
          <w:tcPr>
            <w:tcW w:type="dxa" w:w="30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Qualification</w:t>
            </w:r>
          </w:p>
        </w:tc>
        <w:tc>
          <w:tcPr>
            <w:tcW w:type="dxa" w:w="6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Vérifier qu’une demande est complète (trajet, dates, passagers) avant de chiffrer.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Cas complexe / escalade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Une demande trop grosse (&gt; 85 passagers) ou atypique : l’outil passe la main à un commercial.</w:t>
            </w:r>
          </w:p>
        </w:tc>
      </w:tr>
      <w:tr>
        <w:tc>
          <w:tcPr>
            <w:tcW w:type="dxa" w:w="30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HITL (humain dans la boucle)</w:t>
            </w:r>
          </w:p>
        </w:tc>
        <w:tc>
          <w:tcPr>
            <w:tcW w:type="dxa" w:w="6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Les décisions sensibles restent validées par un humain.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Relance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Email de rappel automatique si le client ne répond pas (J+2, J+3, J+7, max 2).</w:t>
            </w:r>
          </w:p>
        </w:tc>
      </w:tr>
      <w:tr>
        <w:tc>
          <w:tcPr>
            <w:tcW w:type="dxa" w:w="30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Pipeline</w:t>
            </w:r>
          </w:p>
        </w:tc>
        <w:tc>
          <w:tcPr>
            <w:tcW w:type="dxa" w:w="6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 liste des demandes et leur état d’avancement (nouveau, devis envoyé, accepté…).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L’écran de pilotage : chiffres clés, courbes, export.</w:t>
            </w:r>
          </w:p>
        </w:tc>
      </w:tr>
    </w:tbl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À ne jamais dire : </w:t>
      </w:r>
      <w:r>
        <w:t xml:space="preserve">« l’IA calcule le prix ». La bonne formulation : </w:t>
      </w:r>
      <w:r>
        <w:rPr>
          <w:b/>
          <w:bCs/>
        </w:rPr>
        <w:t xml:space="preserve">l’agent collecte les informations et appelle le moteur</w:t>
      </w:r>
      <w:r>
        <w:t xml:space="preserve"> qui calcule le prix de manière déterministe.</w:t>
      </w:r>
    </w:p>
    <w:p>
      <w:pPr>
        <w:pStyle w:val="Heading2"/>
      </w:pPr>
      <w:r>
        <w:t xml:space="preserve">B.2 Utiliser l’outil au quotidien</w:t>
      </w:r>
    </w:p>
    <w:p>
      <w:pPr>
        <w:spacing w:after="120"/>
      </w:pPr>
      <w:r>
        <w:t xml:space="preserve">Se connecter sur </w:t>
      </w:r>
      <w:r>
        <w:rPr>
          <w:rFonts w:ascii="Consolas" w:cs="Consolas" w:eastAsia="Consolas" w:hAnsi="Consolas"/>
          <w:sz w:val="18"/>
          <w:szCs w:val="18"/>
        </w:rPr>
        <w:t xml:space="preserve">/login</w:t>
      </w:r>
      <w:r>
        <w:t xml:space="preserve"> (compte admin) → arrivée sur le dashboard </w:t>
      </w:r>
      <w:r>
        <w:rPr>
          <w:rFonts w:ascii="Consolas" w:cs="Consolas" w:eastAsia="Consolas" w:hAnsi="Consolas"/>
          <w:sz w:val="18"/>
          <w:szCs w:val="18"/>
        </w:rPr>
        <w:t xml:space="preserve">/admin</w:t>
      </w:r>
      <w:r>
        <w:t xml:space="preserve">.</w:t>
      </w:r>
    </w:p>
    <w:p>
      <w:pPr>
        <w:spacing w:after="120"/>
      </w:pPr>
      <w:r>
        <w:t xml:space="preserve">Le tableau ci-dessous regroupe les actions les plus courantes et la manière de les réaliser depuis le dashboard.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Je veux…</w:t>
            </w:r>
          </w:p>
        </w:tc>
        <w:tc>
          <w:tcPr>
            <w:tcW w:type="dxa" w:w="63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Comment faire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Voir l’activité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: KPIs, courbe leads/acceptés, camembert des motifs de refus.</w:t>
            </w:r>
          </w:p>
        </w:tc>
      </w:tr>
      <w:tr>
        <w:tc>
          <w:tcPr>
            <w:tcW w:type="dxa" w:w="30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Filtrer une période</w:t>
            </w:r>
          </w:p>
        </w:tc>
        <w:tc>
          <w:tcPr>
            <w:tcW w:type="dxa" w:w="6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Choisir une plage de dates (Du / Au) — tout se recalcule.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Exporter un bilan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Bouton « Export PDF » des statistiques.</w:t>
            </w:r>
          </w:p>
        </w:tc>
      </w:tr>
      <w:tr>
        <w:tc>
          <w:tcPr>
            <w:tcW w:type="dxa" w:w="30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Retrouver une demande</w:t>
            </w:r>
          </w:p>
        </w:tc>
        <w:tc>
          <w:tcPr>
            <w:tcW w:type="dxa" w:w="6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Table : recherche par client/ville, tri par colonne, filtre par catégorie.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Traiter un cas complexe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Déplier la demande → saisir un prix HT → aperçu TVA/TTC → envoyer. Le client reçoit le devis.</w:t>
            </w:r>
          </w:p>
        </w:tc>
      </w:tr>
      <w:tr>
        <w:tc>
          <w:tcPr>
            <w:tcW w:type="dxa" w:w="30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Marquer gagné / perdu</w:t>
            </w:r>
          </w:p>
        </w:tc>
        <w:tc>
          <w:tcPr>
            <w:tcW w:type="dxa" w:w="6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Sur une demande : « Accepté » ou « Perdu ».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Répondre à un client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Messagerie : badge « nouveaux messages » → ouvrir → répondre. Le client reçoit la réponse.</w:t>
            </w:r>
          </w:p>
        </w:tc>
      </w:tr>
      <w:tr>
        <w:tc>
          <w:tcPr>
            <w:tcW w:type="dxa" w:w="30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Lancer les rappels</w:t>
            </w:r>
          </w:p>
        </w:tc>
        <w:tc>
          <w:tcPr>
            <w:tcW w:type="dxa" w:w="6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Bouton « Lancer les relances dues ».</w:t>
            </w:r>
          </w:p>
        </w:tc>
      </w:tr>
    </w:tbl>
    <w:p>
      <w:pPr>
        <w:pStyle w:val="Heading2"/>
      </w:pPr>
      <w:r>
        <w:t xml:space="preserve">B.3 Les 7 situations gérées</w:t>
      </w:r>
    </w:p>
    <w:p>
      <w:pPr>
        <w:spacing w:after="120"/>
      </w:pPr>
      <w:r>
        <w:t xml:space="preserve">Le tableau suivant décrit les sept situations commerciales que l’outil sait gérer et le comportement attendu pour chacune.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Situation</w:t>
            </w:r>
          </w:p>
        </w:tc>
        <w:tc>
          <w:tcPr>
            <w:tcW w:type="dxa" w:w="63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Ce qui se passe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Demande simple complète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Qualifiée, devis calculé et envoyé, pipeline à jour.</w:t>
            </w:r>
          </w:p>
        </w:tc>
      </w:tr>
      <w:tr>
        <w:tc>
          <w:tcPr>
            <w:tcW w:type="dxa" w:w="30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Demande incomplète</w:t>
            </w:r>
          </w:p>
        </w:tc>
        <w:tc>
          <w:tcPr>
            <w:tcW w:type="dxa" w:w="6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L’agent réclame les infos manquantes avant de chiffrer.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Demande urgente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Priorité haute, majoration selon anticipation.</w:t>
            </w:r>
          </w:p>
        </w:tc>
      </w:tr>
      <w:tr>
        <w:tc>
          <w:tcPr>
            <w:tcW w:type="dxa" w:w="30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Devis sans réponse</w:t>
            </w:r>
          </w:p>
        </w:tc>
        <w:tc>
          <w:tcPr>
            <w:tcW w:type="dxa" w:w="6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Relances automatiques J+2 ou J+3/J+7 (max 2), puis clôture.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Devis accepté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Statut « gagné », relances stoppées.</w:t>
            </w:r>
          </w:p>
        </w:tc>
      </w:tr>
      <w:tr>
        <w:tc>
          <w:tcPr>
            <w:tcW w:type="dxa" w:w="30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Devis refusé</w:t>
            </w:r>
          </w:p>
        </w:tc>
        <w:tc>
          <w:tcPr>
            <w:tcW w:type="dxa" w:w="6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Statut mis à jour, motif conservé (camembert).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Cas complexe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Transfert à un commercial avec tout le contexte.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C — Comment modifier pricing, emails, statuts, relances</w:t>
      </w:r>
    </w:p>
    <w:p>
      <w:pPr>
        <w:spacing w:after="120"/>
      </w:pPr>
      <w:r>
        <w:t xml:space="preserve">Antisèche destinée au développeur qui maintient l’outil. Règle générale : modifier la logique pure (web/lib/ ou pricing/), relancer les tests, puis reporter dans n8n si nécessaire.</w:t>
      </w:r>
    </w:p>
    <w:p>
      <w:pPr>
        <w:pStyle w:val="Heading2"/>
      </w:pPr>
      <w:r>
        <w:t xml:space="preserve">C.1 Modifier le pricing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Tarifs / TVA / marge / coefficients : pricing/matrices.js (source de vérité) + table pricing_config en base.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Reporter la même valeur dans le miroir TS web/lib/calculerDevis.ts ET dans le nœud Code n8n (pricing/n8n-code-node.js).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Seuil d’escalade (85 pax) : seuil_escalade_passagers dans les matrices.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Toujours relancer npm test après modification (anti-régression).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Important : </w:t>
      </w:r>
      <w:r>
        <w:t xml:space="preserve">le barème est pilotable sans toucher à l’algorithme. Ne jamais déplacer le calcul du prix vers le LLM.</w:t>
      </w:r>
    </w:p>
    <w:p>
      <w:pPr>
        <w:pStyle w:val="Heading2"/>
      </w:pPr>
      <w:r>
        <w:t xml:space="preserve">C.2 Modifier les emails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Contenu / gabarit de l’email de devis : web/lib/emailDevis.ts.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PDF joint (logo, mentions, totaux) : web/lib/devisPdf.ts.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Expéditeur : variable EMAIL_FROM (doit appartenir au domaine vérifié sur Resend).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Domaines « démo » sans envoi réel : variable EMAIL_DEMO_DOMAINS (garde-fou web/lib/emailGuard.ts).</w:t>
      </w:r>
    </w:p>
    <w:p>
      <w:pPr>
        <w:pStyle w:val="Heading2"/>
      </w:pPr>
      <w:r>
        <w:t xml:space="preserve">C.3 Modifier les statuts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Cycle de vie d’une demande : enums dans supabase/schema.sql (et le code qui les fait évoluer dans web/app/api/*).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Transitions : routes demande-statut, devis-reponse, devis-manuel.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Voir le diagramme des statuts dans DIAGRAMMES.md (§5).</w:t>
      </w:r>
    </w:p>
    <w:p>
      <w:pPr>
        <w:pStyle w:val="Heading2"/>
      </w:pPr>
      <w:r>
        <w:t xml:space="preserve">C.4 Modifier les relances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Cadence (J+2 / J+3 / J+7), nombre max, expiration : web/lib/relances.ts (logique pure, testée).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Déclenchement planifié : workflow n8n relances-workflow.json (fréquence du Schedule Trigger).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Exécution : web/app/api/relances/route.ts (protégée par CRON_SECRET).</w:t>
      </w:r>
    </w:p>
    <w:p>
      <w:r>
        <w:br w:type="page"/>
      </w:r>
    </w:p>
    <w:p>
      <w:pPr>
        <w:pStyle w:val="Heading1"/>
      </w:pPr>
      <w:r>
        <w:t xml:space="preserve">Partie D — Backlog P1/P2/P3 &amp; prochaines évolutions</w:t>
      </w:r>
    </w:p>
    <w:p>
      <w:pPr>
        <w:pStyle w:val="Heading2"/>
      </w:pPr>
      <w:r>
        <w:t xml:space="preserve">D.1 État livré (MVP)</w:t>
      </w:r>
    </w:p>
    <w:p>
      <w:pPr>
        <w:spacing w:after="120"/>
      </w:pPr>
      <w:r>
        <w:t xml:space="preserve">Sont livrés et fonctionnels : moteur de devis testé, agent de qualification, devis PDF + email, relances, escalade HITL, dashboard de pilotage, espace client, messagerie HITL.</w:t>
      </w:r>
    </w:p>
    <w:p>
      <w:pPr>
        <w:pStyle w:val="Heading2"/>
      </w:pPr>
      <w:r>
        <w:t xml:space="preserve">D.2 Backlog priorisé des évolutions</w:t>
      </w:r>
    </w:p>
    <w:p>
      <w:pPr>
        <w:spacing w:after="120"/>
      </w:pPr>
      <w:r>
        <w:t xml:space="preserve">Le tableau ci-dessous liste les évolutions envisagées, priorisées de P1 (la plus utile à court terme) à P3, avec le bénéfice attendu pour chacune.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100"/>
        <w:gridCol w:w="5060"/>
        <w:gridCol w:w="3200"/>
      </w:tblGrid>
      <w:tr>
        <w:trPr>
          <w:tblHeader/>
        </w:trPr>
        <w:tc>
          <w:tcPr>
            <w:tcW w:type="dxa" w:w="11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Priorité</w:t>
            </w:r>
          </w:p>
        </w:tc>
        <w:tc>
          <w:tcPr>
            <w:tcW w:type="dxa" w:w="50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Évolution</w:t>
            </w:r>
          </w:p>
        </w:tc>
        <w:tc>
          <w:tcPr>
            <w:tcW w:type="dxa" w:w="32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Bénéfice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Héberger n8n 24/7 (Railway / Oracle Free / VPS)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 chat ne dépend plus d’un PC allumé</w:t>
            </w:r>
          </w:p>
        </w:tc>
      </w:tr>
      <w:tr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50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Empêcher la mise en pause de Supabase (offre Pro)</w:t>
            </w:r>
          </w:p>
        </w:tc>
        <w:tc>
          <w:tcPr>
            <w:tcW w:type="dxa" w:w="3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Disponibilité continue de la base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Distance par API d’itinéraire enrichie + péages par trajet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Devis encore plus précis</w:t>
            </w:r>
          </w:p>
        </w:tc>
      </w:tr>
      <w:tr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50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Observabilité : coût/tokens par devis dans le dashboard</w:t>
            </w:r>
          </w:p>
        </w:tc>
        <w:tc>
          <w:tcPr>
            <w:tcW w:type="dxa" w:w="3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Pilotage fin du budget IA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Notifications internes (demande urgente, cas complexe)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Réactivité commerciale</w:t>
            </w:r>
          </w:p>
        </w:tc>
      </w:tr>
      <w:tr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50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Canal WhatsApp officiel (en plus de l’email)</w:t>
            </w:r>
          </w:p>
        </w:tc>
        <w:tc>
          <w:tcPr>
            <w:tcW w:type="dxa" w:w="3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Toucher le client sur son canal préféré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A/B testing des messages de relance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Meilleur taux de réponse</w:t>
            </w:r>
          </w:p>
        </w:tc>
      </w:tr>
      <w:tr>
        <w:tc>
          <w:tcPr>
            <w:tcW w:type="dxa" w:w="11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50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Rôles fins (commercial / manager) et droits associés</w:t>
            </w:r>
          </w:p>
        </w:tc>
        <w:tc>
          <w:tcPr>
            <w:tcW w:type="dxa" w:w="32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Organisation à plus grande échelle</w:t>
            </w:r>
          </w:p>
        </w:tc>
      </w:tr>
    </w:tbl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Critère de reprise : </w:t>
      </w:r>
      <w:r>
        <w:t xml:space="preserve">le système peut vivre et évoluer sans ses créateurs — un développeur le relance en 5 min (Partie A), une équipe l’utilise sans formation technique (Partie B), et les réglages courants sont documentés (Partie C).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NeoTravel · Livrable 3 — Documentation de passation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A66" w:sz="6" w:space="4"/>
      </w:pBdr>
      <w:spacing w:after="140" w:before="280"/>
      <w:outlineLvl w:val="0"/>
    </w:pPr>
    <w:rPr>
      <w:rFonts w:ascii="Arial" w:cs="Arial" w:eastAsia="Arial" w:hAnsi="Arial"/>
      <w:b/>
      <w:bCs/>
      <w:color w:val="0E7A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A534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b2da73b3f15b947105ffc89012fc45f431bca9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de passation — NeoTravel</dc:title>
  <dc:creator>Équipe NeoTravel</dc:creator>
  <cp:lastModifiedBy>Un-named</cp:lastModifiedBy>
  <cp:revision>1</cp:revision>
  <dcterms:created xsi:type="dcterms:W3CDTF">2026-06-29T16:54:05.712Z</dcterms:created>
  <dcterms:modified xsi:type="dcterms:W3CDTF">2026-06-29T16:54:05.713Z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