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drawing>
          <wp:inline distT="0" distB="0" distL="0" distR="0">
            <wp:extent cx="2857500" cy="1581150"/>
            <wp:effectExtent t="0" r="0" b="0" l="0"/>
            <wp:docPr id="1" name="logo" descr="Logo NeoTravel" title="NeoTrav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400"/>
        <w:jc w:val="center"/>
      </w:pPr>
      <w:r>
        <w:rPr>
          <w:b/>
          <w:bCs/>
          <w:color w:val="0E7A66"/>
          <w:sz w:val="52"/>
          <w:szCs w:val="52"/>
        </w:rPr>
        <w:t xml:space="preserve">SUPPORT DE SOUTENANCE</w:t>
      </w:r>
    </w:p>
    <w:p>
      <w:pPr>
        <w:spacing w:after="60"/>
        <w:jc w:val="center"/>
      </w:pPr>
      <w:r>
        <w:rPr>
          <w:color w:val="333333"/>
          <w:sz w:val="28"/>
          <w:szCs w:val="28"/>
        </w:rPr>
        <w:t xml:space="preserve">Trame de présentation &amp; démonstration</w:t>
      </w:r>
    </w:p>
    <w:p>
      <w:pPr>
        <w:spacing w:after="400"/>
        <w:jc w:val="center"/>
      </w:pPr>
      <w:r>
        <w:rPr>
          <w:b/>
          <w:bCs/>
          <w:color w:val="0A5346"/>
          <w:sz w:val="28"/>
          <w:szCs w:val="28"/>
        </w:rPr>
        <w:t xml:space="preserve">NEO TRAVEL</w:t>
      </w:r>
    </w:p>
    <w:p>
      <w:pPr>
        <w:spacing w:after="40"/>
        <w:jc w:val="center"/>
      </w:pPr>
      <w:r>
        <w:rPr>
          <w:i/>
          <w:iCs/>
          <w:color w:val="666666"/>
          <w:sz w:val="24"/>
          <w:szCs w:val="24"/>
        </w:rPr>
        <w:t xml:space="preserve">Soutenance — 1ᵉʳ juillet 2026</w:t>
      </w:r>
    </w:p>
    <w:p>
      <w:pPr>
        <w:spacing w:after="40"/>
        <w:jc w:val="center"/>
      </w:pPr>
      <w:r>
        <w:rPr>
          <w:color w:val="666666"/>
          <w:sz w:val="22"/>
          <w:szCs w:val="22"/>
        </w:rPr>
        <w:t xml:space="preserve">Équipe projet : Axel MOMPER · Vincent CONTER · Zakaria TOUAMI</w:t>
      </w:r>
    </w:p>
    <w:p>
      <w:pPr>
        <w:jc w:val="center"/>
      </w:pPr>
      <w:r>
        <w:rPr>
          <w:color w:val="666666"/>
          <w:sz w:val="20"/>
          <w:szCs w:val="20"/>
        </w:rPr>
        <w:t xml:space="preserve">Cas d’étude MBA1 — NeoTravel · InterstellLabs</w:t>
      </w:r>
    </w:p>
    <w:p>
      <w:r>
        <w:br w:type="page"/>
      </w:r>
    </w:p>
    <w:p>
      <w:pPr>
        <w:spacing w:after="160"/>
      </w:pPr>
      <w:r>
        <w:rPr>
          <w:b/>
          <w:bCs/>
          <w:color w:val="0E7A66"/>
          <w:sz w:val="32"/>
          <w:szCs w:val="32"/>
        </w:rPr>
        <w:t xml:space="preserve">Table des matières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Mode d’emploi du support</w:t>
      </w:r>
    </w:p>
    <w:p>
      <w:pPr>
        <w:spacing w:after="120"/>
      </w:pPr>
      <w:r>
        <w:t xml:space="preserve">Trame de la soutenance : </w:t>
      </w:r>
      <w:r>
        <w:rPr>
          <w:b/>
          <w:bCs/>
        </w:rPr>
        <w:t xml:space="preserve">~20 min de présentation + démo</w:t>
      </w:r>
      <w:r>
        <w:t xml:space="preserve">, puis </w:t>
      </w:r>
      <w:r>
        <w:rPr>
          <w:b/>
          <w:bCs/>
        </w:rPr>
        <w:t xml:space="preserve">10-15 min de questions</w:t>
      </w:r>
      <w:r>
        <w:t xml:space="preserve">. Une slide = une idée. Les blocs « À dire » sont les notes de l’orateur ; « Orateur » indique qui prend la parole — </w:t>
      </w:r>
      <w:r>
        <w:rPr>
          <w:b/>
          <w:bCs/>
        </w:rPr>
        <w:t xml:space="preserve">chaque membre intervient</w:t>
      </w:r>
      <w:r>
        <w:t xml:space="preserve">. À mettre en forme dans l’outil de slides de votre choix (ou à présenter tel quel en PDF).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Avant de commencer : </w:t>
      </w:r>
      <w:r>
        <w:t xml:space="preserve">lancer </w:t>
      </w:r>
      <w:r>
        <w:rPr>
          <w:rFonts w:ascii="Consolas" w:cs="Consolas" w:eastAsia="Consolas" w:hAnsi="Consolas"/>
          <w:sz w:val="18"/>
          <w:szCs w:val="18"/>
        </w:rPr>
        <w:t xml:space="preserve">lancer-n8n-tunnel.bat</w:t>
      </w:r>
      <w:r>
        <w:t xml:space="preserve"> (2 fenêtres n8n + tunnel) et rejouer </w:t>
      </w:r>
      <w:r>
        <w:rPr>
          <w:rFonts w:ascii="Consolas" w:cs="Consolas" w:eastAsia="Consolas" w:hAnsi="Consolas"/>
          <w:sz w:val="18"/>
          <w:szCs w:val="18"/>
        </w:rPr>
        <w:t xml:space="preserve">reset-complet.sql</w:t>
      </w:r>
      <w:r>
        <w:t xml:space="preserve"> pour des données propres. Filet de sécurité : un jeu de démo est déjà en base si le chat live échoue.</w:t>
      </w:r>
    </w:p>
    <w:p>
      <w:pPr>
        <w:pStyle w:val="Heading2"/>
      </w:pPr>
      <w:r>
        <w:t xml:space="preserve">Répartition de la parole (proposition)</w:t>
      </w:r>
    </w:p>
    <w:p>
      <w:pPr>
        <w:spacing w:after="120"/>
      </w:pPr>
      <w:r>
        <w:t xml:space="preserve">Le tableau ci-dessous propose une répartition de la prise de parole, par bloc et par slides, afin que chaque membre intervienne sur son périmètre.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200"/>
        <w:gridCol w:w="3360"/>
        <w:gridCol w:w="2800"/>
      </w:tblGrid>
      <w:tr>
        <w:trPr>
          <w:tblHeader/>
        </w:trPr>
        <w:tc>
          <w:tcPr>
            <w:tcW w:type="dxa" w:w="32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Bloc</w:t>
            </w:r>
          </w:p>
        </w:tc>
        <w:tc>
          <w:tcPr>
            <w:tcW w:type="dxa" w:w="33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Orateur</w:t>
            </w:r>
          </w:p>
        </w:tc>
        <w:tc>
          <w:tcPr>
            <w:tcW w:type="dxa" w:w="28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Slides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Problème &amp; solution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Axel MOMPER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 → 4</w:t>
            </w:r>
          </w:p>
        </w:tc>
      </w:tr>
      <w:tr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Démo live (parcours complet)</w:t>
            </w:r>
          </w:p>
        </w:tc>
        <w:tc>
          <w:tcPr>
            <w:tcW w:type="dxa" w:w="3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Zakaria TOUAMI</w:t>
            </w:r>
          </w:p>
        </w:tc>
        <w:tc>
          <w:tcPr>
            <w:tcW w:type="dxa" w:w="28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5 → 8</w:t>
            </w:r>
          </w:p>
        </w:tc>
      </w:tr>
      <w:tr>
        <w:tc>
          <w:tcPr>
            <w:tcW w:type="dxa" w:w="32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Fiabilité, choix techniques, limites</w:t>
            </w:r>
          </w:p>
        </w:tc>
        <w:tc>
          <w:tcPr>
            <w:tcW w:type="dxa" w:w="33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Vincent CONTER</w:t>
            </w:r>
          </w:p>
        </w:tc>
        <w:tc>
          <w:tcPr>
            <w:tcW w:type="dxa" w:w="2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9 → 12</w:t>
            </w:r>
          </w:p>
        </w:tc>
      </w:tr>
      <w:tr>
        <w:tc>
          <w:tcPr>
            <w:tcW w:type="dxa" w:w="32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Clôture &amp; Q&amp;R</w:t>
            </w:r>
          </w:p>
        </w:tc>
        <w:tc>
          <w:tcPr>
            <w:tcW w:type="dxa" w:w="33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Toute l’équipe</w:t>
            </w:r>
          </w:p>
        </w:tc>
        <w:tc>
          <w:tcPr>
            <w:tcW w:type="dxa" w:w="28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Slide 1 — Titre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30 s</w:t>
      </w:r>
    </w:p>
    <w:p>
      <w:pPr>
        <w:spacing w:after="120"/>
      </w:pPr>
      <w:r>
        <w:rPr>
          <w:i/>
          <w:iCs/>
          <w:color w:val="666666"/>
        </w:rPr>
        <w:t xml:space="preserve">NeoTravel — Automatisation du cycle commercial (transport de groupe en autocar).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Cas d’étude MBA1 — InterstellLabs.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Équipe : Axel MOMPER · Vincent CONTER · Zakaria TOUAMI.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Se présenter brièvement et annoncer le plan : problème, solution, démo live, choix techniques, limites, questions.</w:t>
      </w:r>
    </w:p>
    <w:p>
      <w:pPr>
        <w:pStyle w:val="Heading1"/>
      </w:pPr>
      <w:r>
        <w:t xml:space="preserve">Slide 2 — Le problème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2 min</w:t>
      </w:r>
    </w:p>
    <w:p>
      <w:pPr>
        <w:spacing w:after="120"/>
      </w:pPr>
      <w:r>
        <w:rPr>
          <w:i/>
          <w:iCs/>
          <w:color w:val="666666"/>
        </w:rPr>
        <w:t xml:space="preserve">NeoTravel reçoit ~60 leads/jour — l’acquisition n’est pas le problème, l’exploitation l’est.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Friction 1 : les commerciaux (commissionnés) priorisent les gros leads → des leads payants ne sont jamais recontactés (manque à gagner).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Friction 2 : acquisition bridée — sans automatisation, plus de leads = plus de charge, pas plus de 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Tarification manuelle lente et faillible, relances oubliées, direction sans visibilité.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Insister : on veut mieux exploiter le flux existant et libérer les commerciaux pour les tâches à forte valeur (conseil, négociation).</w:t>
      </w:r>
    </w:p>
    <w:p>
      <w:pPr>
        <w:pStyle w:val="Heading1"/>
      </w:pPr>
      <w:r>
        <w:t xml:space="preserve">Slide 3 — La solution &amp; la règle d’or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Un copilote qui automatise la chaîne sans déshumaniser.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Chaîne complète : captation → qualification (agent IA) → devis déterministe → email/PDF → relances → dashboard.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Règle d’or : l’IA comprend et oriente ; le prix vient TOUJOURS du code déterministe (calculer_devis()), jamais du LLM.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L’humain garde la main sur les cas sensibles (HITL).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La règle d’or est le fil rouge de toute la soutenance : reproductible, auditable, zéro hallucination tarifaire.</w:t>
      </w:r>
    </w:p>
    <w:p>
      <w:pPr>
        <w:pStyle w:val="Heading1"/>
      </w:pPr>
      <w:r>
        <w:t xml:space="preserve">Slide 4 — Architecture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Axel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Option A hybride : Next.js (Netlify) + n8n/Gemma + Supabase + Resend.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Front Next.js = UI + toute la logique métier (routes /api).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Agent n8n = UN SEUL appel LLM (extraction) ; le nœud Code calcule le prix ET rédige la réponse.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Supabase = PostgreSQL + Auth + RLS ; OSRM = distance routière réelle ; Resend = emails.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Montrer le schéma de DIAGRAMMES.md. Expliquer pourquoi un seul appel LLM : rapidité, fiabilité, pas de fuite de raisonnement.</w:t>
      </w:r>
    </w:p>
    <w:p>
      <w:pPr>
        <w:pStyle w:val="Heading1"/>
      </w:pPr>
      <w:r>
        <w:t xml:space="preserve">Slide 5 — Démo — parcours prospect (le cœur)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2 min</w:t>
      </w:r>
    </w:p>
    <w:p>
      <w:pPr>
        <w:spacing w:after="120"/>
      </w:pPr>
      <w:r>
        <w:rPr>
          <w:i/>
          <w:iCs/>
          <w:color w:val="666666"/>
        </w:rPr>
        <w:t xml:space="preserve">Chat : « Lyon vers Annecy, 50 personnes, aller-retour le 12 juillet 2026 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barre « Votre demande » se remplit en direct ; l’agent demande l’email.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Carte devis affichée + email reçu (PDF + boutons Accepter / Refuser).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Phrase clé : le prix vient du moteur, pas de l’IA ; la distance est la vraie distance routière.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Si Gemma renvoie un 503 ponctuel, renvoyer le message. Garder le filet : devis de démo déjà en base.</w:t>
      </w:r>
    </w:p>
    <w:p>
      <w:pPr>
        <w:pStyle w:val="Heading1"/>
      </w:pPr>
      <w:r>
        <w:t xml:space="preserve">Slide 6 — Démo — cas complexe (HITL)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1 min</w:t>
      </w:r>
    </w:p>
    <w:p>
      <w:pPr>
        <w:spacing w:after="120"/>
      </w:pPr>
      <w:r>
        <w:rPr>
          <w:i/>
          <w:iCs/>
          <w:color w:val="666666"/>
        </w:rPr>
        <w:t xml:space="preserve">Chat : « Marseille vers Lille, 120 personnes 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Au-delà de 85 passagers → message d’escalade, pas de devis automatique.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demande devient un cas complexe transmis à un humain avec le contexte.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Montrer que le système sait dire « non » à l’automatisation totale : c’est un gage de fiabilité, pas une limite.</w:t>
      </w:r>
    </w:p>
    <w:p>
      <w:pPr>
        <w:pStyle w:val="Heading1"/>
      </w:pPr>
      <w:r>
        <w:t xml:space="preserve">Slide 7 — Démo — côté client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De l’email à l’espace client.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Bouton « Accepter » d’un email sans compte → inscription pré-remplie.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Espace client : Mes devis (PDF, accepter/refuser avec motifs), Mes conversations, Mon compte.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 Refuser » depuis l’email → page de motifs → relances stoppées.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Souligner le différenciateur bonus : le prospect suit ses devis et son historique.</w:t>
      </w:r>
    </w:p>
    <w:p>
      <w:pPr>
        <w:pStyle w:val="Heading1"/>
      </w:pPr>
      <w:r>
        <w:t xml:space="preserve">Slide 8 — Démo — dashboard admin (pilotage)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Zakaria   </w:t>
      </w:r>
      <w:r>
        <w:rPr>
          <w:b/>
          <w:bCs/>
          <w:color w:val="0A5346"/>
        </w:rPr>
        <w:t xml:space="preserve">Durée : </w:t>
      </w:r>
      <w:r>
        <w:t xml:space="preserve">2 min</w:t>
      </w:r>
    </w:p>
    <w:p>
      <w:pPr>
        <w:spacing w:after="120"/>
      </w:pPr>
      <w:r>
        <w:rPr>
          <w:i/>
          <w:iCs/>
          <w:color w:val="666666"/>
        </w:rPr>
        <w:t xml:space="preserve">Connexion admin → /admin.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KPIs, courbe d’évolution, camembert des motifs de refus, filtre par dates, export PDF.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Cas complexe → devis sur-mesure (prix HT → TVA/TTC → envoi) → rejoint le pipeline.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Messagerie HITL bidirectionnelle ; « Lancer les relances dues ».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C’est la preuve du pilotage par la donnée : la direction voit tout en temps réel.</w:t>
      </w:r>
    </w:p>
    <w:p>
      <w:pPr>
        <w:pStyle w:val="Heading1"/>
      </w:pPr>
      <w:r>
        <w:t xml:space="preserve">Slide 9 — Fiabilité &amp; garde-fous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Un système sûr, juste et auditable.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Prix 100 % déterministe (calculer_devis() testé) ; 1ᵉʳ prix figé.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Jeu de tests : cas types ET cas limites (0 passager, date incohérente, gros volume…).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RGPD (minimisation, domaine de démo sans envoi réel) ; prompt injection (le code ne négocie jamais le prix) ; HITL.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Montrer rapidement npm test qui passe, et /docs (Swagger) : « toute l’API est documentée et explorable ».</w:t>
      </w:r>
    </w:p>
    <w:p>
      <w:pPr>
        <w:pStyle w:val="Heading1"/>
      </w:pPr>
      <w:r>
        <w:t xml:space="preserve">Slide 10 — Choix techniques défendus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1,5 min</w:t>
      </w:r>
    </w:p>
    <w:p>
      <w:pPr>
        <w:spacing w:after="120"/>
      </w:pPr>
      <w:r>
        <w:rPr>
          <w:i/>
          <w:iCs/>
          <w:color w:val="666666"/>
        </w:rPr>
        <w:t xml:space="preserve">Pourquoi ces décisions.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n8n (Option A) : orchestration visuelle + relances intégrées.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seul appel LLM : rapide, fiable, économe.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Supabase plutôt qu’Airtable : base + Auth + RLS dans une seule stack (dashboard custom sans surcoût).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Gemma (gratuit) : rôle d’assistance uniquement.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Renvoyer à l’« Argumentaire des choix » (L1) pour le détail des décisions.</w:t>
      </w:r>
    </w:p>
    <w:p>
      <w:pPr>
        <w:pStyle w:val="Heading1"/>
      </w:pPr>
      <w:r>
        <w:t xml:space="preserve">Slide 11 — Limites &amp; arbitrages assumés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 min</w:t>
      </w:r>
    </w:p>
    <w:p>
      <w:pPr>
        <w:spacing w:after="120"/>
      </w:pPr>
      <w:r>
        <w:rPr>
          <w:i/>
          <w:iCs/>
          <w:color w:val="666666"/>
        </w:rPr>
        <w:t xml:space="preserve">Ce qu’on assume, et pourquoi.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n8n en tunnel local = choix MVP (0 €, dépend du PC) ; voie de prod 24/7 documentée.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Périmètre : prototype cohérent de bout en bout, pas une app de production (cas limites non exhaustifs).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Distance estimée/réelle au MVP ; péages forfaitaires (P2).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Assumer franchement : la cohérence du parcours prime sur la perfection d’un maillon.</w:t>
      </w:r>
    </w:p>
    <w:p>
      <w:pPr>
        <w:pStyle w:val="Heading1"/>
      </w:pPr>
      <w:r>
        <w:t xml:space="preserve">Slide 12 — MVP vs prod &amp; coûts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Vincent   </w:t>
      </w:r>
      <w:r>
        <w:rPr>
          <w:b/>
          <w:bCs/>
          <w:color w:val="0A5346"/>
        </w:rPr>
        <w:t xml:space="preserve">Durée : </w:t>
      </w:r>
      <w:r>
        <w:t xml:space="preserve">1 min</w:t>
      </w:r>
    </w:p>
    <w:p>
      <w:pPr>
        <w:spacing w:after="120"/>
      </w:pPr>
      <w:r>
        <w:rPr>
          <w:i/>
          <w:iCs/>
          <w:color w:val="666666"/>
        </w:rPr>
        <w:t xml:space="preserve">Du 0 € à la prod sereine.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Aujourd’hui (MVP) : ~0 €/mois (tunnel local).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 « éco » 24/7 : ~0-1 €/mois (n8n sur Oracle Free).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 « sereine » recommandée : ~30 €/mois (Supabase Pro + n8n hébergé).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Détails et 4 scénarios chiffrés dans COUTS_ET_PROD.md. Le seul élément à changer pour la prod : héberger n8n.</w:t>
      </w:r>
    </w:p>
    <w:p>
      <w:pPr>
        <w:pStyle w:val="Heading1"/>
      </w:pPr>
      <w:r>
        <w:t xml:space="preserve">Slide 13 — Clôture &amp; questions</w:t>
      </w:r>
    </w:p>
    <w:p>
      <w:pPr>
        <w:spacing w:after="120"/>
      </w:pPr>
      <w:r>
        <w:rPr>
          <w:b/>
          <w:bCs/>
          <w:color w:val="0A5346"/>
        </w:rPr>
        <w:t xml:space="preserve">Orateur : </w:t>
      </w:r>
      <w:r>
        <w:t xml:space="preserve">Toute l’équipe   </w:t>
      </w:r>
      <w:r>
        <w:rPr>
          <w:b/>
          <w:bCs/>
          <w:color w:val="0A5346"/>
        </w:rPr>
        <w:t xml:space="preserve">Durée : </w:t>
      </w:r>
      <w:r>
        <w:t xml:space="preserve">+ 10-15 min Q/R</w:t>
      </w:r>
    </w:p>
    <w:p>
      <w:pPr>
        <w:spacing w:after="120"/>
      </w:pPr>
      <w:r>
        <w:rPr>
          <w:i/>
          <w:iCs/>
          <w:color w:val="666666"/>
        </w:rPr>
        <w:t xml:space="preserve">Ce qu’on a prouvé.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Compris le métier, construit un flux complet, sécurisé le pricing, rendu la solution reprenable.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Remerciements + ouverture aux questions.</w:t>
      </w:r>
    </w:p>
    <w:p>
      <w:pPr>
        <w:pBdr>
          <w:left w:val="single" w:color="0E7A66" w:sz="18" w:space="8"/>
        </w:pBdr>
        <w:shd w:fill="F2F8F6" w:val="clear"/>
        <w:spacing w:after="160" w:before="80"/>
      </w:pPr>
      <w:r>
        <w:rPr>
          <w:b/>
          <w:bCs/>
          <w:color w:val="0A5346"/>
        </w:rPr>
        <w:t xml:space="preserve">À dire : </w:t>
      </w:r>
      <w:r>
        <w:t xml:space="preserve">Chaque membre reste disponible sur son périmètre. Voir l’annexe : questions probables et réponses prêtes.</w:t>
      </w:r>
    </w:p>
    <w:p>
      <w:r>
        <w:br w:type="page"/>
      </w:r>
    </w:p>
    <w:p>
      <w:pPr>
        <w:pStyle w:val="Heading1"/>
      </w:pPr>
      <w:r>
        <w:t xml:space="preserve">Annexe — Questions probables &amp; réponses prêtes</w:t>
      </w:r>
    </w:p>
    <w:p>
      <w:pPr>
        <w:spacing w:after="120"/>
      </w:pPr>
      <w:r>
        <w:t xml:space="preserve">Le tableau ci-dessous rassemble les questions les plus probables du jury et une réponse prête, courte et défendable, pour chacune.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Question</w:t>
            </w:r>
          </w:p>
        </w:tc>
        <w:tc>
          <w:tcPr>
            <w:tcW w:type="dxa" w:w="5960"/>
            <w:shd w:fill="D9F0E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A5346"/>
              </w:rPr>
              <w:t xml:space="preserve">Réponse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Pourquoi pas le LLM pour le prix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Reproductibilité, auditabilité, zéro hallucination tarifaire ; le LLM ne fait qu’extraire.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C’est vraiment en ligne ?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Oui : front + base + emails 24/7 ; seul l’agent (chat) dépend du tunnel — assumé et documenté.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Et si Gemma sature (503)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Retries automatiques ; le moteur de prix et la réponse ne dépendent pas du LLM.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Combien ça coûterait en vrai ?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4 scénarios chiffrés (COUTS_ET_PROD.md) : ~0 € en éco, ~30 €/mois en prod sereine.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Comment un autre dev reprend le projet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Documentation de passation (L3) : 5 min pour relancer en local ; Swagger/TypeDoc pour le détail.</w:t>
            </w:r>
          </w:p>
        </w:tc>
      </w:tr>
      <w:tr>
        <w:tc>
          <w:tcPr>
            <w:tcW w:type="dxa" w:w="340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Comment changer un tarif ?</w:t>
            </w:r>
          </w:p>
        </w:tc>
        <w:tc>
          <w:tcPr>
            <w:tcW w:type="dxa" w:w="5960"/>
            <w:shd w:fill="F2F8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pricing/matrices.js (+ pricing_config), relancer npm test, reporter dans n8n. Jamais via le LLM.</w:t>
            </w:r>
          </w:p>
        </w:tc>
      </w:tr>
      <w:tr>
        <w:tc>
          <w:tcPr>
            <w:tcW w:type="dxa" w:w="34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Et la RGPD ?</w:t>
            </w:r>
          </w:p>
        </w:tc>
        <w:tc>
          <w:tcPr>
            <w:tcW w:type="dxa" w:w="596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Minimisation, données fictives/minimales, domaine de démo sans envoi réel, RLS par utilisateur.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tabs>
        <w:tab w:val="right" w:pos="9026"/>
      </w:tabs>
    </w:pPr>
    <w:r>
      <w:rPr>
        <w:color w:val="666666"/>
        <w:sz w:val="16"/>
        <w:szCs w:val="16"/>
      </w:rPr>
      <w:t xml:space="preserve">NeoTravel · Support de soutenance</w:t>
    </w:r>
    <w:r>
      <w:rPr>
        <w:color w:val="666666"/>
        <w:sz w:val="16"/>
        <w:szCs w:val="16"/>
      </w:rPr>
      <w:t xml:space="preserve">	Page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/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E7A66" w:sz="6" w:space="4"/>
      </w:pBdr>
      <w:spacing w:after="140" w:before="280"/>
      <w:outlineLvl w:val="0"/>
    </w:pPr>
    <w:rPr>
      <w:rFonts w:ascii="Arial" w:cs="Arial" w:eastAsia="Arial" w:hAnsi="Arial"/>
      <w:b/>
      <w:bCs/>
      <w:color w:val="0E7A6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0A534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db2da73b3f15b947105ffc89012fc45f431bca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Support de soutenance — NeoTravel</dc:title>
  <dc:creator>Équipe NeoTravel</dc:creator>
  <cp:lastModifiedBy>Un-named</cp:lastModifiedBy>
  <cp:revision>1</cp:revision>
  <dcterms:created xsi:type="dcterms:W3CDTF">2026-06-29T13:39:12.959Z</dcterms:created>
  <dcterms:modified xsi:type="dcterms:W3CDTF">2026-06-29T13:39:12.961Z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