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Arial" w:hAnsi="Arial"/>
          <w:b/>
          <w:color w:val="1F4E79"/>
          <w:sz w:val="46"/>
        </w:rPr>
        <w:t>Przedstawienie problemu — dokument Zamawiającego</w:t>
      </w:r>
    </w:p>
    <w:p>
      <w:pPr>
        <w:spacing w:after="280"/>
      </w:pPr>
      <w:r>
        <w:rPr>
          <w:color w:val="566270"/>
          <w:sz w:val="22"/>
        </w:rPr>
        <w:t>Cel biznesowy, użytkownicy i zakres oczekiwanych możliwości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t>Produkt</w:t>
            </w:r>
          </w:p>
        </w:tc>
        <w:tc>
          <w:tcPr>
            <w:tcW w:type="dxa" w:w="4986"/>
          </w:tcPr>
          <w:p>
            <w:r>
              <w:t>KAC — Kernel 'Aura Kalendar'</w:t>
            </w:r>
          </w:p>
        </w:tc>
      </w:tr>
      <w:tr>
        <w:tc>
          <w:tcPr>
            <w:tcW w:type="dxa" w:w="4986"/>
            <w:shd w:fill="D9EAF7"/>
          </w:tcPr>
          <w:p>
            <w:r>
              <w:t>Klucz projektu</w:t>
            </w:r>
          </w:p>
        </w:tc>
        <w:tc>
          <w:tcPr>
            <w:tcW w:type="dxa" w:w="4986"/>
          </w:tcPr>
          <w:p>
            <w:r>
              <w:t>S23KC2S1P2</w:t>
            </w:r>
          </w:p>
        </w:tc>
      </w:tr>
      <w:tr>
        <w:tc>
          <w:tcPr>
            <w:tcW w:type="dxa" w:w="4986"/>
            <w:shd w:fill="D9EAF7"/>
          </w:tcPr>
          <w:p>
            <w:r>
              <w:t>Zespół w eksporcie</w:t>
            </w:r>
          </w:p>
        </w:tc>
        <w:tc>
          <w:tcPr>
            <w:tcW w:type="dxa" w:w="4986"/>
          </w:tcPr>
          <w:p>
            <w:r>
              <w:t>WCY23KC2S1</w:t>
            </w:r>
          </w:p>
        </w:tc>
      </w:tr>
      <w:tr>
        <w:tc>
          <w:tcPr>
            <w:tcW w:type="dxa" w:w="4986"/>
            <w:shd w:fill="D9EAF7"/>
          </w:tcPr>
          <w:p>
            <w:r>
              <w:t>Źródło Jira</w:t>
            </w:r>
          </w:p>
        </w:tc>
        <w:tc>
          <w:tcPr>
            <w:tcW w:type="dxa" w:w="4986"/>
          </w:tcPr>
          <w:p>
            <w:r>
              <w:t>11.10.2026 16:53 (UTC+02:00)</w:t>
            </w:r>
          </w:p>
        </w:tc>
      </w:tr>
      <w:tr>
        <w:tc>
          <w:tcPr>
            <w:tcW w:type="dxa" w:w="4986"/>
            <w:shd w:fill="D9EAF7"/>
          </w:tcPr>
          <w:p>
            <w:r>
              <w:t>Wersja / data</w:t>
            </w:r>
          </w:p>
        </w:tc>
        <w:tc>
          <w:tcPr>
            <w:tcW w:type="dxa" w:w="4986"/>
          </w:tcPr>
          <w:p>
            <w:r>
              <w:t>1.0 / 21.10.2026</w:t>
            </w:r>
          </w:p>
        </w:tc>
      </w:tr>
      <w:tr>
        <w:tc>
          <w:tcPr>
            <w:tcW w:type="dxa" w:w="4986"/>
            <w:shd w:fill="D9EAF7"/>
          </w:tcPr>
          <w:p>
            <w:r>
              <w:t>Zespół</w:t>
            </w:r>
          </w:p>
        </w:tc>
        <w:tc>
          <w:tcPr>
            <w:tcW w:type="dxa" w:w="4986"/>
          </w:tcPr>
          <w:p>
            <w:r>
              <w:t>WCY23KC2S1 — 7 osób; skład i role platformowe w README</w:t>
            </w:r>
          </w:p>
        </w:tc>
      </w:tr>
      <w:tr>
        <w:tc>
          <w:tcPr>
            <w:tcW w:type="dxa" w:w="4986"/>
            <w:shd w:fill="D9EAF7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Wersja robocza do przeglądu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Wersja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Zmiana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</w:rPr>
              <w:t>Autor</w:t>
            </w:r>
          </w:p>
        </w:tc>
      </w:tr>
      <w:tr>
        <w:tc>
          <w:tcPr>
            <w:tcW w:type="dxa" w:w="2493"/>
          </w:tcPr>
          <w:p>
            <w:r>
              <w:t>21.10.2026</w:t>
            </w:r>
          </w:p>
        </w:tc>
        <w:tc>
          <w:tcPr>
            <w:tcW w:type="dxa" w:w="2493"/>
          </w:tcPr>
          <w:p>
            <w:r>
              <w:t>1.0</w:t>
            </w:r>
          </w:p>
        </w:tc>
        <w:tc>
          <w:tcPr>
            <w:tcW w:type="dxa" w:w="2493"/>
          </w:tcPr>
          <w:p>
            <w:r>
              <w:t>Pierwszy komplet artefaktów KAC na podstawie migawki Jira</w:t>
            </w:r>
          </w:p>
        </w:tc>
        <w:tc>
          <w:tcPr>
            <w:tcW w:type="dxa" w:w="2493"/>
          </w:tcPr>
          <w:p>
            <w:r>
              <w:t>Zespół projektu</w:t>
            </w:r>
          </w:p>
        </w:tc>
      </w:tr>
    </w:tbl>
    <w:p>
      <w:r>
        <w:br w:type="page"/>
      </w:r>
    </w:p>
    <w:p>
      <w:pPr>
        <w:pStyle w:val="Heading1"/>
      </w:pPr>
      <w:r>
        <w:t>1. Kontekst</w:t>
      </w:r>
    </w:p>
    <w:p>
      <w:r>
        <w:t>Projekt KAC — Kernel “Aura Kalendar” — odpowiada na potrzebę studentów, którzy łączą zajęcia akademickie, pracę zawodową i aktywności prywatne. Plan zajęć, zmiany w pracy i pozostałe wydarzenia pochodzą z różnych źródeł, dlatego student musi ręcznie zestawiać informacje, kontrolować kolizje i oceniać, ile czasu może przeznaczyć na pracę.</w:t>
      </w:r>
    </w:p>
    <w:p>
      <w:pPr>
        <w:pStyle w:val="Heading1"/>
      </w:pPr>
      <w:r>
        <w:t>2. Problem do rozwiązania</w:t>
      </w:r>
    </w:p>
    <w:p>
      <w:pPr>
        <w:pStyle w:val="ListBullet"/>
      </w:pPr>
      <w:r>
        <w:t>Brak jednego, aktualnego widoku tygodnia utrudnia rozpoznanie zajętych i wolnych przedziałów.</w:t>
      </w:r>
    </w:p>
    <w:p>
      <w:pPr>
        <w:pStyle w:val="ListBullet"/>
      </w:pPr>
      <w:r>
        <w:t>Nakładające się wydarzenia lub zmiana planu mogą zostać przeoczone.</w:t>
      </w:r>
    </w:p>
    <w:p>
      <w:pPr>
        <w:pStyle w:val="ListBullet"/>
      </w:pPr>
      <w:r>
        <w:t>Ręczne przepisywanie planu zajęć lub grafiku ze zdjęć i plików powoduje błędy i powielone wpisy.</w:t>
      </w:r>
    </w:p>
    <w:p>
      <w:pPr>
        <w:pStyle w:val="ListBullet"/>
      </w:pPr>
      <w:r>
        <w:t>Student musi samodzielnie zestawiać obowiązkowe zajęcia, dostępność, czas dojazdu, odpoczynek i cel godzin pracy.</w:t>
      </w:r>
    </w:p>
    <w:p>
      <w:pPr>
        <w:pStyle w:val="ListBullet"/>
      </w:pPr>
      <w:r>
        <w:t>Brak informacji o niewykonalnym celu może prowadzić do nierealnego grafiku.</w:t>
      </w:r>
    </w:p>
    <w:p>
      <w:pPr>
        <w:pStyle w:val="Heading1"/>
      </w:pPr>
      <w:r>
        <w:t>3. Cel biznesowy</w:t>
      </w:r>
    </w:p>
    <w:p>
      <w:r>
        <w:t>Zapewnić studentowi wspólny kalendarz oraz narzędzia do importu, kontroli i planowania aktywności, tak aby mógł świadomie ułożyć grafik pracy wokół zajęć, sprawdzić konflikty i sam zdecydować, czy zaakceptować oraz opublikować proponowane zmiany.</w:t>
      </w:r>
    </w:p>
    <w:p>
      <w:pPr>
        <w:pStyle w:val="Heading1"/>
      </w:pPr>
      <w:r>
        <w:t>4. Użytkownicy i interesariusze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</w:tcPr>
          <w:p>
            <w:r>
              <w:rPr>
                <w:b/>
                <w:color w:val="FFFFFF"/>
                <w:sz w:val="16"/>
              </w:rPr>
              <w:t>Rola</w:t>
            </w:r>
          </w:p>
        </w:tc>
        <w:tc>
          <w:tcPr>
            <w:tcW w:type="dxa" w:w="4986"/>
            <w:shd w:fill="1F4E78"/>
          </w:tcPr>
          <w:p>
            <w:r>
              <w:rPr>
                <w:b/>
                <w:color w:val="FFFFFF"/>
                <w:sz w:val="16"/>
              </w:rPr>
              <w:t>Potrzeba / odpowiedzialność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Student WAT / student pracujący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Podstawowy użytkownik kalendarza, importu, planera i powiadomień.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Właściciel danych o zajęciach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Udostępnia właściwy plan lub plik źródłowy; zatwierdza rozpoznane dane akademickie.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Źródło grafiku pracy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Dostarcza zmian roboczych w pliku/obrazie lub kalendarzu.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Google Calendar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Zewnętrzne źródło kalendarza lub miejsce docelowe publikacji za zgodą studenta.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Właściciel produktu / Scrum Master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Uzgadnia priorytety i odbiór; raport statusu do SharePoint przesyła wyłącznie Scrum Master.</w:t>
            </w:r>
          </w:p>
        </w:tc>
      </w:tr>
    </w:tbl>
    <w:p/>
    <w:p>
      <w:pPr>
        <w:pStyle w:val="Heading2"/>
      </w:pPr>
      <w:r>
        <w:t>Zespół projektu (skład z listy dostępu)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5"/>
              </w:rPr>
              <w:t>Imię i nazwisko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5"/>
              </w:rPr>
              <w:t>Rola widoczna na zrzucie</w:t>
            </w:r>
          </w:p>
        </w:tc>
        <w:tc>
          <w:tcPr>
            <w:tcW w:type="dxa" w:w="3324"/>
            <w:shd w:fill="1F4E78"/>
          </w:tcPr>
          <w:p>
            <w:r>
              <w:rPr>
                <w:b/>
                <w:color w:val="FFFFFF"/>
                <w:sz w:val="15"/>
              </w:rPr>
              <w:t>Rola projektowa / RUP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5"/>
              </w:rPr>
              <w:t>Karol Narozniak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Właściciel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Michał Kozłowski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5"/>
              </w:rPr>
              <w:t>Jan Lizińczyk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Zuzanna Maksymów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5"/>
              </w:rPr>
              <w:t>Krzysztof Olszewski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Hubert Pogonowski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  <w:shd w:fill="F4F7FA"/>
          </w:tcPr>
          <w:p>
            <w:r>
              <w:rPr>
                <w:sz w:val="15"/>
              </w:rPr>
              <w:t>Do przydzielenia przez Scrum Mastera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5"/>
              </w:rPr>
              <w:t>Klaudia Porzuczek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Współwłaściciel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5"/>
              </w:rPr>
              <w:t>Do przydzielenia przez Scrum Mastera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b/>
              </w:rPr>
              <w:t xml:space="preserve">Uwaga o rolach: </w:t>
            </w:r>
            <w:r>
              <w:t>„Właściciel” i „Współwłaściciel” są rolami platformowymi widocznymi na zrzucie. Nie oznaczają Właściciela produktu, Scrum Mastera ani ról RUP. Nazwisko Scrum Mastera nie wynika ze zrzutu; trzeba je wskazać przed planowaniem odpowiedzialności i raportowaniem.</w:t>
            </w:r>
          </w:p>
        </w:tc>
      </w:tr>
    </w:tbl>
    <w:p/>
    <w:p>
      <w:pPr>
        <w:pStyle w:val="Heading1"/>
      </w:pPr>
      <w:r>
        <w:t>5. Zakres funkcjonalny wynikający z Jira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F4E78"/>
          </w:tcPr>
          <w:p>
            <w:r>
              <w:rPr>
                <w:b/>
                <w:color w:val="FFFFFF"/>
                <w:sz w:val="15"/>
              </w:rPr>
              <w:t>Epik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  <w:sz w:val="15"/>
              </w:rPr>
              <w:t>Nazwa epiku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  <w:sz w:val="15"/>
              </w:rPr>
              <w:t>Historie</w:t>
            </w:r>
          </w:p>
        </w:tc>
        <w:tc>
          <w:tcPr>
            <w:tcW w:type="dxa" w:w="2493"/>
            <w:shd w:fill="1F4E78"/>
          </w:tcPr>
          <w:p>
            <w:r>
              <w:rPr>
                <w:b/>
                <w:color w:val="FFFFFF"/>
                <w:sz w:val="15"/>
              </w:rPr>
              <w:t>Rezultat oczekiwany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5"/>
              </w:rPr>
              <w:t>S23KC2S1P2-1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5"/>
              </w:rPr>
              <w:t>Obszar związany z najbardziej podstawowymi funkcjami aplikacji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5"/>
              </w:rPr>
              <w:t>Kalendarz tygodniowy, wydarzenia, kategorie, obowiązkowość, powtarzanie i kolizje.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5"/>
              </w:rPr>
              <w:t>S23KC2S1P2-2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5"/>
              </w:rPr>
              <w:t>Funkcja aplikacji związana z importem kalendarzy z innych platform do naszej aplikacji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5"/>
              </w:rPr>
              <w:t>Import ICS/CSV/PDF/zdjęcia, podgląd, poprawianie rozpoznania i deduplikacja.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5"/>
              </w:rPr>
              <w:t>S23KC2S1P2-3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5"/>
              </w:rPr>
              <w:t>Obszar poświęcony wybraniu preferencji dotyczących planowania grafiku do pracy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5"/>
              </w:rPr>
              <w:t>Dostępność, cele godzin, stawka, odpoczynek, dni niedostępne i dojazd.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5"/>
              </w:rPr>
              <w:t>S23KC2S1P2-4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5"/>
              </w:rPr>
              <w:t>Funkcja związana z automatycznym planowaniem grafiku do pracy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5"/>
              </w:rPr>
              <w:t>Generowanie propozycji, wykonalność celu, ręczne korekty i decyzja użytkownika.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sz w:val="15"/>
              </w:rPr>
              <w:t>S23KC2S1P2-5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5"/>
              </w:rPr>
              <w:t>Funkcja związana z importem danych z naszej aplikacji do Google Calendar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5"/>
              </w:rPr>
              <w:t>Wybór kalendarza, import, publikowanie, aktualizowanie i usuwanie zmian.</w:t>
            </w:r>
          </w:p>
        </w:tc>
      </w:tr>
      <w:tr>
        <w:tc>
          <w:tcPr>
            <w:tcW w:type="dxa" w:w="2493"/>
            <w:vAlign w:val="center"/>
            <w:shd w:fill="F4F7FA"/>
          </w:tcPr>
          <w:p>
            <w:r>
              <w:rPr>
                <w:sz w:val="15"/>
              </w:rPr>
              <w:t>S23KC2S1P2-6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5"/>
              </w:rPr>
              <w:t>Funkcja do wysyłania powiadomień z aplikacji do użytkownika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493"/>
            <w:vAlign w:val="center"/>
            <w:shd w:fill="F4F7FA"/>
          </w:tcPr>
          <w:p>
            <w:r>
              <w:rPr>
                <w:sz w:val="15"/>
              </w:rPr>
              <w:t>Przypomnienia, cisza nocna, konflikty, przekroczenie limitu i wykonalność celu.</w:t>
            </w:r>
          </w:p>
        </w:tc>
      </w:tr>
    </w:tbl>
    <w:p/>
    <w:p>
      <w:pPr>
        <w:pStyle w:val="Heading1"/>
      </w:pPr>
      <w:r>
        <w:t>6. Kryteria powodzenia na poziomie produktu</w:t>
      </w:r>
    </w:p>
    <w:p>
      <w:pPr>
        <w:pStyle w:val="ListBullet"/>
      </w:pPr>
      <w:r>
        <w:t>Student widzi wydarzenia tygodnia, kategorie, terminy obowiązkowe i ostrzeżenia o kolizjach.</w:t>
      </w:r>
    </w:p>
    <w:p>
      <w:pPr>
        <w:pStyle w:val="ListBullet"/>
      </w:pPr>
      <w:r>
        <w:t>Importowane rekordy są widoczne do korekty i zatwierdzenia, a duplikaty są rozpoznawane.</w:t>
      </w:r>
    </w:p>
    <w:p>
      <w:pPr>
        <w:pStyle w:val="ListBullet"/>
      </w:pPr>
      <w:r>
        <w:t>Propozycja grafiku uwzględnia dostępność i ograniczenia; niemożliwy cel jest jawnie komunikowany.</w:t>
      </w:r>
    </w:p>
    <w:p>
      <w:pPr>
        <w:pStyle w:val="ListBullet"/>
      </w:pPr>
      <w:r>
        <w:t>Akceptacja jest osobną decyzją użytkownika, a anulowanie lub błąd publikacji nie zmienia grafiku.</w:t>
      </w:r>
    </w:p>
    <w:p>
      <w:pPr>
        <w:pStyle w:val="ListBullet"/>
      </w:pPr>
      <w:r>
        <w:t>Powiadomienia i publikacja Google zachowują ustawienia użytkownika i czytelnie pokazują wynik.</w:t>
      </w:r>
    </w:p>
    <w:p>
      <w:pPr>
        <w:pStyle w:val="Heading1"/>
      </w:pPr>
      <w:r>
        <w:t>7. Granica makiety i produktu docelowego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</w:tcPr>
          <w:p>
            <w:r>
              <w:rPr>
                <w:b/>
                <w:color w:val="FFFFFF"/>
                <w:sz w:val="16"/>
              </w:rPr>
              <w:t>Poziom</w:t>
            </w:r>
          </w:p>
        </w:tc>
        <w:tc>
          <w:tcPr>
            <w:tcW w:type="dxa" w:w="4986"/>
            <w:shd w:fill="1F4E78"/>
          </w:tcPr>
          <w:p>
            <w:r>
              <w:rPr>
                <w:b/>
                <w:color w:val="FFFFFF"/>
                <w:sz w:val="16"/>
              </w:rPr>
              <w:t>Założenie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Makieta demonstracyjna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Interakcje mogą być symulowane, a dane przechowywane w pamięci; interfejs jasno oznacza funkcje niepodłączone.</w:t>
            </w:r>
          </w:p>
        </w:tc>
      </w:tr>
      <w:tr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Historie wymagające integracji</w:t>
            </w:r>
          </w:p>
        </w:tc>
        <w:tc>
          <w:tcPr>
            <w:tcW w:type="dxa" w:w="4986"/>
            <w:vAlign w:val="center"/>
            <w:shd w:fill="F4F7FA"/>
          </w:tcPr>
          <w:p>
            <w:r>
              <w:rPr>
                <w:sz w:val="16"/>
              </w:rPr>
              <w:t>Jira zawiera wymagania JWT, API, SQL, Redis, Google OAuth/Calendar, OCR i synchronizacji. Nie należy deklarować ich jako działających bez implementacji, konfiguracji i testów.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sz w:val="16"/>
              </w:rPr>
              <w:t>Logowanie / rejestracja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6"/>
              </w:rPr>
              <w:t>Dodane później do kierunku projektu; w migawce CSV nie ma dedykowanych historii rejestracji, resetu hasła ani profilu.</w:t>
            </w:r>
          </w:p>
        </w:tc>
      </w:tr>
    </w:tbl>
    <w:p/>
    <w:p>
      <w:pPr>
        <w:pStyle w:val="Heading1"/>
      </w:pPr>
      <w:r>
        <w:t>8. Stan backlogu</w:t>
      </w:r>
    </w:p>
    <w:p>
      <w:r>
        <w:t>Źródłem jest CSV Jira z 11.10.2026 16:53 (UTC+02:00): 55 zgłoszeń (49 historyjek i 6 epików). W chwili eksportu: 7 historyjek w toku i 42 do zrobienia. Dla pełnej listy kluczy i przypisania do pakietów prac zob. arkusz „Rejestr Jira” w harmonogramie.</w:t>
      </w:r>
    </w:p>
    <w:p>
      <w:pPr>
        <w:pStyle w:val="Heading1"/>
      </w:pPr>
      <w:r>
        <w:t>9. Kwestie do potwierdzenia</w:t>
      </w:r>
    </w:p>
    <w:p>
      <w:pPr>
        <w:pStyle w:val="ListBullet"/>
      </w:pPr>
      <w:r>
        <w:t>Czy najbliższym celem jest wyłącznie makieta, czy wdrażamy już produkcyjne API i trwałą bazę?</w:t>
      </w:r>
    </w:p>
    <w:p>
      <w:pPr>
        <w:pStyle w:val="ListBullet"/>
      </w:pPr>
      <w:r>
        <w:t>Jakie formaty i pliki testowe będą użyte do importu PDF/zdjęć oraz jak rozstrzygać błędne odczyty?</w:t>
      </w:r>
    </w:p>
    <w:p>
      <w:pPr>
        <w:pStyle w:val="ListBullet"/>
      </w:pPr>
      <w:r>
        <w:t>Czy logowanie Google jest wymagane oddzielnie od zgody na Google Calendar?</w:t>
      </w:r>
    </w:p>
    <w:p>
      <w:pPr>
        <w:pStyle w:val="ListBullet"/>
      </w:pPr>
      <w:r>
        <w:t>Które historie powtarzają/uzupełniają się i wymagają scalenia kryteriów akceptacji?</w:t>
      </w:r>
    </w:p>
    <w:p>
      <w:pPr>
        <w:pStyle w:val="ListBullet"/>
      </w:pPr>
      <w:r>
        <w:t>Jakie są wymagane kanały i terminy powiadomień oraz warunki ich wysyłania?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KAC-A1 · Wersja 1.0 · 21.10.2026                         </w:t>
    </w:r>
    <w:r>
      <w:t xml:space="preserve">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KAC  |  FAZA DEFINICJI  |  KAC-A1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color w:val="2630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