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Arial" w:hAnsi="Arial"/>
          <w:b/>
          <w:color w:val="1F4E79"/>
          <w:sz w:val="46"/>
        </w:rPr>
        <w:t>Słownik pojęć KAC</w:t>
      </w:r>
    </w:p>
    <w:p>
      <w:pPr>
        <w:spacing w:after="280"/>
      </w:pPr>
      <w:r>
        <w:rPr>
          <w:color w:val="566270"/>
          <w:sz w:val="22"/>
        </w:rPr>
        <w:t>Wspólna terminologia domeny planowania czasu studenta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t>Produkt</w:t>
            </w:r>
          </w:p>
        </w:tc>
        <w:tc>
          <w:tcPr>
            <w:tcW w:type="dxa" w:w="4986"/>
          </w:tcPr>
          <w:p>
            <w:r>
              <w:t>KAC — Kernel 'Aura Kalendar'</w:t>
            </w:r>
          </w:p>
        </w:tc>
      </w:tr>
      <w:tr>
        <w:tc>
          <w:tcPr>
            <w:tcW w:type="dxa" w:w="4986"/>
            <w:shd w:fill="D9EAF7"/>
          </w:tcPr>
          <w:p>
            <w:r>
              <w:t>Klucz projektu</w:t>
            </w:r>
          </w:p>
        </w:tc>
        <w:tc>
          <w:tcPr>
            <w:tcW w:type="dxa" w:w="4986"/>
          </w:tcPr>
          <w:p>
            <w:r>
              <w:t>S23KC2S1P2</w:t>
            </w:r>
          </w:p>
        </w:tc>
      </w:tr>
      <w:tr>
        <w:tc>
          <w:tcPr>
            <w:tcW w:type="dxa" w:w="4986"/>
            <w:shd w:fill="D9EAF7"/>
          </w:tcPr>
          <w:p>
            <w:r>
              <w:t>Zespół w eksporcie</w:t>
            </w:r>
          </w:p>
        </w:tc>
        <w:tc>
          <w:tcPr>
            <w:tcW w:type="dxa" w:w="4986"/>
          </w:tcPr>
          <w:p>
            <w:r>
              <w:t>WCY23KC2S1</w:t>
            </w:r>
          </w:p>
        </w:tc>
      </w:tr>
      <w:tr>
        <w:tc>
          <w:tcPr>
            <w:tcW w:type="dxa" w:w="4986"/>
            <w:shd w:fill="D9EAF7"/>
          </w:tcPr>
          <w:p>
            <w:r>
              <w:t>Źródło Jira</w:t>
            </w:r>
          </w:p>
        </w:tc>
        <w:tc>
          <w:tcPr>
            <w:tcW w:type="dxa" w:w="4986"/>
          </w:tcPr>
          <w:p>
            <w:r>
              <w:t>11.10.2026 16:53 (UTC+02:00)</w:t>
            </w:r>
          </w:p>
        </w:tc>
      </w:tr>
      <w:tr>
        <w:tc>
          <w:tcPr>
            <w:tcW w:type="dxa" w:w="4986"/>
            <w:shd w:fill="D9EAF7"/>
          </w:tcPr>
          <w:p>
            <w:r>
              <w:t>Wersja / data</w:t>
            </w:r>
          </w:p>
        </w:tc>
        <w:tc>
          <w:tcPr>
            <w:tcW w:type="dxa" w:w="4986"/>
          </w:tcPr>
          <w:p>
            <w:r>
              <w:t>1.0 / 21.10.2026</w:t>
            </w:r>
          </w:p>
        </w:tc>
      </w:tr>
      <w:tr>
        <w:tc>
          <w:tcPr>
            <w:tcW w:type="dxa" w:w="4986"/>
            <w:shd w:fill="D9EAF7"/>
          </w:tcPr>
          <w:p>
            <w:r>
              <w:t>Zespół</w:t>
            </w:r>
          </w:p>
        </w:tc>
        <w:tc>
          <w:tcPr>
            <w:tcW w:type="dxa" w:w="4986"/>
          </w:tcPr>
          <w:p>
            <w:r>
              <w:t>WCY23KC2S1 — 7 osób; skład i role platformowe w README</w:t>
            </w:r>
          </w:p>
        </w:tc>
      </w:tr>
      <w:tr>
        <w:tc>
          <w:tcPr>
            <w:tcW w:type="dxa" w:w="4986"/>
            <w:shd w:fill="D9EAF7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Wersja robocza do przeglądu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Wersja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Zmiana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Autor</w:t>
            </w:r>
          </w:p>
        </w:tc>
      </w:tr>
      <w:tr>
        <w:tc>
          <w:tcPr>
            <w:tcW w:type="dxa" w:w="2493"/>
          </w:tcPr>
          <w:p>
            <w:r>
              <w:t>21.10.2026</w:t>
            </w:r>
          </w:p>
        </w:tc>
        <w:tc>
          <w:tcPr>
            <w:tcW w:type="dxa" w:w="2493"/>
          </w:tcPr>
          <w:p>
            <w:r>
              <w:t>1.0</w:t>
            </w:r>
          </w:p>
        </w:tc>
        <w:tc>
          <w:tcPr>
            <w:tcW w:type="dxa" w:w="2493"/>
          </w:tcPr>
          <w:p>
            <w:r>
              <w:t>Pierwszy komplet artefaktów KAC na podstawie migawki Jira</w:t>
            </w:r>
          </w:p>
        </w:tc>
        <w:tc>
          <w:tcPr>
            <w:tcW w:type="dxa" w:w="2493"/>
          </w:tcPr>
          <w:p>
            <w:r>
              <w:t>Zespół projektu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</w:rPr>
              <w:t xml:space="preserve">Zakres: </w:t>
            </w:r>
            <w:r>
              <w:t>Słownik opisuje pojęcia domenowe. Nazwy technologii, baz danych, API i bibliotek nie stanowią jego haseł.</w:t>
            </w:r>
          </w:p>
        </w:tc>
      </w:tr>
    </w:tbl>
    <w:p/>
    <w:p>
      <w:pPr>
        <w:pStyle w:val="Heading1"/>
      </w:pPr>
      <w:r>
        <w:t>1. Pojęcia i definicje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</w:tcPr>
          <w:p>
            <w:r>
              <w:rPr>
                <w:b/>
                <w:color w:val="FFFFFF"/>
                <w:sz w:val="16"/>
              </w:rPr>
              <w:t>Nazwa pojęcia</w:t>
            </w:r>
          </w:p>
        </w:tc>
        <w:tc>
          <w:tcPr>
            <w:tcW w:type="dxa" w:w="4986"/>
            <w:shd w:fill="1F4E78"/>
          </w:tcPr>
          <w:p>
            <w:r>
              <w:rPr>
                <w:b/>
                <w:color w:val="FFFFFF"/>
                <w:sz w:val="16"/>
              </w:rPr>
              <w:t>Znaczenie w KAC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Podstawowy użytkownik KAC, który planuje zajęcia, pracę i aktywności prywatne.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Profil studenta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Zestaw danych potrzebnych do ustawienia kalendarza i preferencji.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Kalendarz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Uporządkowany zbiór wydarzeń przypisany użytkownikowi lub źródłu.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Tydzień planu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Zakres kalendarza od poniedziałku do niedzieli.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Wydarzenie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Aktywność z tytułem, kategorią oraz godziną rozpoczęcia i zakończenia.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Kategoria wydarzenia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Rodzaj wpisu, np. zajęcia, praca albo aktywność prywatna.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Zajęcia obowiązkowe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Zajęcia wyłączone z czasu dostępnego do planowania pracy.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Seria tygodniowa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Reguła, według której wydarzenie ma wystąpienia w kolejnych tygodniach.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Kolizja terminów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Nakładanie się przedziałów czasu dwóch wydarzeń.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Plan zajęć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Zestaw wydarzeń akademickich studenta w określonym okresie.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Import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Wprowadzenie wydarzeń ze źródła zewnętrznego po podglądzie i decyzji użytkownika.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Podgląd importu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Tymczasowa lista rozpoznanych danych przed ich zatwierdzeniem.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Duplikat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Wpis uznany za równoważny istniejącemu według przyjętej reguły porównania.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Dostępność do pracy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Dni i godziny, w których student może podjąć pracę.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Dzień niedostępny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Dzień lub okres wyłączony z planowania grafiku.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Cel godzinowy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Liczba godzin pracy, którą student chce osiągnąć w danym okresie.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Limit godzin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Maksymalna liczba godzin pracy, której planer nie powinien przekraczać.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Stawka godzinowa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Kwota wynagrodzenia przypisana jednej godzinie pracy.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Bufor dojazdu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Czas uwzględniany na dojazd przed lub po zmianie.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Odpoczynek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Odstęp między zmianami wymagany przez preferencje studenta.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Zmiana robocza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Blok pracy z datą, początkiem i końcem.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Propozycja grafiku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Wynik planera przedstawiony do korekty i decyzji użytkownika.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Wykonalność celu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Informacja, czy cel godzin da się osiągnąć przy podanych ograniczeniach.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Akceptacja grafiku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Jawna decyzja studenta o zachowaniu zaproponowanych zmian.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Kalendarz zewnętrzny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Kalendarz poza KAC, z którego można pobierać lub do którego można publikować wydarzenia po udzieleniu zgody.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Publikacja grafiku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Dodanie zaakceptowanych zmian do wybranego kalendarza docelowego.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Godziny ciszy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Przedział czasu, w którym powiadomienia są blokowane.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Przypomnienie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Informacja kierowana do użytkownika przed wydarzeniem lub zmianą.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Powiadomienie o konflikcie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Informacja o nakładających się terminach.</w:t>
            </w:r>
          </w:p>
        </w:tc>
      </w:tr>
    </w:tbl>
    <w:p/>
    <w:p>
      <w:pPr>
        <w:pStyle w:val="Heading1"/>
      </w:pPr>
      <w:r>
        <w:t>2. Zasady używania</w:t>
      </w:r>
    </w:p>
    <w:p>
      <w:pPr>
        <w:pStyle w:val="ListBullet"/>
      </w:pPr>
      <w:r>
        <w:t>Rozróżniać wydarzenie, kategorię, serię i pojedyncze wystąpienie.</w:t>
      </w:r>
    </w:p>
    <w:p>
      <w:pPr>
        <w:pStyle w:val="ListBullet"/>
      </w:pPr>
      <w:r>
        <w:t>Rozróżniać zmianę roboczą, propozycję grafiku, grafik zaakceptowany i grafik opublikowany.</w:t>
      </w:r>
    </w:p>
    <w:p>
      <w:pPr>
        <w:pStyle w:val="ListBullet"/>
      </w:pPr>
      <w:r>
        <w:t>Kalendarz zewnętrzny jest źródłem/docelowym obszarem danych, a nie kontem użytkownika KAC.</w:t>
      </w:r>
    </w:p>
    <w:p>
      <w:pPr>
        <w:pStyle w:val="ListBullet"/>
      </w:pPr>
      <w:r>
        <w:t>Kolor nie jest jedynym nośnikiem informacji o obowiązkowości lub konflikcie.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KAC-A6 · Wersja 1.0 · 21.10.2026                         </w:t>
    </w:r>
    <w:r>
      <w:t xml:space="preserve">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KAC  |  FAZA DEFINICJI  |  KAC-A6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2630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