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41" w:rightFromText="141" w:horzAnchor="margin" w:tblpXSpec="center" w:tblpY="55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0"/>
      </w:tblGrid>
      <w:tr w:rsidR="00BC1FC4" w:rsidRPr="00357F0D" w:rsidTr="00B64D2A">
        <w:trPr>
          <w:trHeight w:val="724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BC1FC4" w:rsidRPr="00213CDB" w:rsidRDefault="00BC1FC4" w:rsidP="00B64D2A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222A35" w:themeColor="text2" w:themeShade="80"/>
                <w:sz w:val="28"/>
                <w:szCs w:val="28"/>
              </w:rPr>
            </w:pPr>
            <w:r w:rsidRPr="00213CDB">
              <w:rPr>
                <w:rFonts w:eastAsia="Times New Roman" w:cs="Arial"/>
                <w:b/>
                <w:bCs/>
                <w:color w:val="222A35" w:themeColor="text2" w:themeShade="80"/>
                <w:sz w:val="28"/>
                <w:szCs w:val="28"/>
              </w:rPr>
              <w:t xml:space="preserve">Kierunek: </w:t>
            </w:r>
            <w:r>
              <w:rPr>
                <w:rFonts w:eastAsia="Times New Roman" w:cs="Arial"/>
                <w:b/>
                <w:bCs/>
                <w:color w:val="222A35" w:themeColor="text2" w:themeShade="80"/>
                <w:sz w:val="28"/>
                <w:szCs w:val="28"/>
              </w:rPr>
              <w:t>Finanse i Rachunkowość</w:t>
            </w:r>
          </w:p>
        </w:tc>
      </w:tr>
      <w:tr w:rsidR="00BC1FC4" w:rsidRPr="00357F0D" w:rsidTr="00B64D2A">
        <w:trPr>
          <w:trHeight w:val="501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BC1FC4" w:rsidRPr="00357F0D" w:rsidRDefault="00BC1FC4" w:rsidP="00B64D2A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222A35" w:themeColor="text2" w:themeShade="80"/>
                <w:sz w:val="28"/>
                <w:szCs w:val="28"/>
              </w:rPr>
            </w:pPr>
            <w:r w:rsidRPr="00357F0D">
              <w:rPr>
                <w:rFonts w:eastAsia="Times New Roman" w:cs="Arial"/>
                <w:b/>
                <w:bCs/>
                <w:color w:val="222A35" w:themeColor="text2" w:themeShade="80"/>
                <w:sz w:val="28"/>
                <w:szCs w:val="28"/>
              </w:rPr>
              <w:t>Specjalność</w:t>
            </w:r>
            <w:r w:rsidRPr="00357F0D">
              <w:rPr>
                <w:b/>
                <w:color w:val="222A35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222A35" w:themeColor="text2" w:themeShade="80"/>
                <w:sz w:val="28"/>
                <w:szCs w:val="28"/>
              </w:rPr>
              <w:t xml:space="preserve">: Analityk </w:t>
            </w:r>
            <w:r>
              <w:rPr>
                <w:rFonts w:eastAsia="Times New Roman" w:cs="Arial"/>
                <w:b/>
                <w:bCs/>
                <w:color w:val="222A35" w:themeColor="text2" w:themeShade="80"/>
                <w:sz w:val="28"/>
                <w:szCs w:val="28"/>
              </w:rPr>
              <w:t>Biznesowy MSU</w:t>
            </w:r>
          </w:p>
        </w:tc>
      </w:tr>
      <w:tr w:rsidR="00BC1FC4" w:rsidRPr="00357F0D" w:rsidTr="00B64D2A">
        <w:trPr>
          <w:trHeight w:val="45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BC1FC4" w:rsidRPr="00357F0D" w:rsidRDefault="00BC1FC4" w:rsidP="00B64D2A">
            <w:pPr>
              <w:spacing w:after="0" w:line="240" w:lineRule="auto"/>
              <w:rPr>
                <w:rFonts w:eastAsia="Times New Roman" w:cs="Arial"/>
                <w:b/>
                <w:bCs/>
                <w:color w:val="222A35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222A35" w:themeColor="text2" w:themeShade="80"/>
                <w:sz w:val="24"/>
                <w:szCs w:val="24"/>
              </w:rPr>
              <w:t>Część ogólna wspólna dla wszystkich specjalności</w:t>
            </w:r>
          </w:p>
        </w:tc>
      </w:tr>
      <w:tr w:rsidR="00BC1FC4" w:rsidRPr="00357F0D" w:rsidTr="00B64D2A">
        <w:trPr>
          <w:trHeight w:val="566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BC1FC4" w:rsidRPr="00357F0D" w:rsidRDefault="00BC1FC4" w:rsidP="00B64D2A">
            <w:pPr>
              <w:spacing w:after="0" w:line="240" w:lineRule="auto"/>
              <w:rPr>
                <w:rFonts w:eastAsia="Times New Roman" w:cs="Arial"/>
                <w:b/>
                <w:bCs/>
                <w:color w:val="222A35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222A35" w:themeColor="text2" w:themeShade="80"/>
                <w:sz w:val="24"/>
                <w:szCs w:val="24"/>
              </w:rPr>
              <w:t>Informacje ogólne o podmiocie:</w:t>
            </w:r>
          </w:p>
        </w:tc>
      </w:tr>
      <w:tr w:rsidR="00BC1FC4" w:rsidRPr="00357F0D" w:rsidTr="00B64D2A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BC1FC4" w:rsidRDefault="00BC1FC4" w:rsidP="00B64D2A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>H</w:t>
            </w:r>
            <w:r w:rsidRPr="00213CDB"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 xml:space="preserve">istoria i profil działalności podmiotu, </w:t>
            </w:r>
          </w:p>
          <w:p w:rsidR="00BC1FC4" w:rsidRDefault="00BC1FC4" w:rsidP="00B64D2A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>I</w:t>
            </w:r>
            <w:r w:rsidRPr="00213CDB"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 xml:space="preserve">nformacje o formie prawnej podmiotu, </w:t>
            </w:r>
          </w:p>
          <w:p w:rsidR="00BC1FC4" w:rsidRDefault="00BC1FC4" w:rsidP="00B64D2A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>B</w:t>
            </w:r>
            <w:r w:rsidRPr="00213CDB"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 xml:space="preserve">ranża, sektor w którym funkcjonuje podmiot, </w:t>
            </w:r>
          </w:p>
          <w:p w:rsidR="00BC1FC4" w:rsidRDefault="00BC1FC4" w:rsidP="00B64D2A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>C</w:t>
            </w:r>
            <w:r w:rsidRPr="00213CDB"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 xml:space="preserve">ele działalności podmiotu, </w:t>
            </w:r>
          </w:p>
          <w:p w:rsidR="00BC1FC4" w:rsidRDefault="00BC1FC4" w:rsidP="00B64D2A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  <w:r w:rsidRPr="00213CDB"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 xml:space="preserve">Struktura organizacyjna podmiotu, </w:t>
            </w:r>
          </w:p>
          <w:p w:rsidR="00BC1FC4" w:rsidRPr="00213CDB" w:rsidRDefault="00BC1FC4" w:rsidP="00B64D2A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>F</w:t>
            </w:r>
            <w:r w:rsidRPr="00213CDB"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>unkcje komórek podmiotu oraz wzajemne powiązania.</w:t>
            </w:r>
          </w:p>
        </w:tc>
      </w:tr>
      <w:tr w:rsidR="00BC1FC4" w:rsidRPr="00357F0D" w:rsidTr="00B64D2A">
        <w:trPr>
          <w:trHeight w:val="533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BC1FC4" w:rsidRPr="00357F0D" w:rsidRDefault="00BC1FC4" w:rsidP="00B64D2A">
            <w:pPr>
              <w:spacing w:after="0" w:line="240" w:lineRule="auto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</w:p>
        </w:tc>
      </w:tr>
      <w:tr w:rsidR="00BC1FC4" w:rsidRPr="00357F0D" w:rsidTr="00B64D2A">
        <w:trPr>
          <w:trHeight w:val="42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BC1FC4" w:rsidRPr="00357F0D" w:rsidRDefault="00BC1FC4" w:rsidP="00B64D2A">
            <w:pPr>
              <w:spacing w:after="0" w:line="240" w:lineRule="auto"/>
              <w:rPr>
                <w:rFonts w:eastAsia="Times New Roman" w:cs="Arial"/>
                <w:b/>
                <w:bCs/>
                <w:color w:val="222A35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222A35" w:themeColor="text2" w:themeShade="80"/>
                <w:sz w:val="24"/>
                <w:szCs w:val="24"/>
              </w:rPr>
              <w:t>Przepisy wewnętrzne regulujące funkcjonowanie podmiotu:</w:t>
            </w:r>
          </w:p>
        </w:tc>
      </w:tr>
      <w:tr w:rsidR="00BC1FC4" w:rsidRPr="00357F0D" w:rsidTr="00B64D2A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BC1FC4" w:rsidRDefault="00BC1FC4" w:rsidP="00B64D2A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>R</w:t>
            </w:r>
            <w:r w:rsidRPr="00213CDB"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 xml:space="preserve">egulamin pracy podmiotu, regulamin wynagradzania, </w:t>
            </w:r>
          </w:p>
          <w:p w:rsidR="00BC1FC4" w:rsidRDefault="00BC1FC4" w:rsidP="00B64D2A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>P</w:t>
            </w:r>
            <w:r w:rsidRPr="00213CDB"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 xml:space="preserve">rzepisy BHP i przeciwpożarowe, </w:t>
            </w:r>
          </w:p>
          <w:p w:rsidR="00BC1FC4" w:rsidRDefault="00BC1FC4" w:rsidP="00B64D2A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>N</w:t>
            </w:r>
            <w:r w:rsidRPr="00213CDB"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 xml:space="preserve">ormy i certyfikaty posiadane przez podmiot, , </w:t>
            </w:r>
          </w:p>
          <w:p w:rsidR="00BC1FC4" w:rsidRPr="00213CDB" w:rsidRDefault="00BC1FC4" w:rsidP="00B64D2A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>Z</w:t>
            </w:r>
            <w:r w:rsidRPr="00213CDB"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>asady obiegu i archiwizacji dokumentów w podmiocie.</w:t>
            </w:r>
          </w:p>
        </w:tc>
      </w:tr>
      <w:tr w:rsidR="00BC1FC4" w:rsidRPr="00357F0D" w:rsidTr="00B64D2A">
        <w:trPr>
          <w:trHeight w:val="509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BC1FC4" w:rsidRPr="00357F0D" w:rsidRDefault="00BC1FC4" w:rsidP="00B64D2A">
            <w:pPr>
              <w:spacing w:after="0" w:line="240" w:lineRule="auto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</w:p>
        </w:tc>
      </w:tr>
      <w:tr w:rsidR="00BC1FC4" w:rsidRPr="00357F0D" w:rsidTr="00B64D2A">
        <w:trPr>
          <w:trHeight w:val="688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BC1FC4" w:rsidRPr="00357F0D" w:rsidRDefault="00BC1FC4" w:rsidP="00B64D2A">
            <w:pPr>
              <w:spacing w:after="0" w:line="240" w:lineRule="auto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</w:p>
        </w:tc>
      </w:tr>
      <w:tr w:rsidR="00BC1FC4" w:rsidRPr="00357F0D" w:rsidTr="00B64D2A">
        <w:trPr>
          <w:trHeight w:val="270"/>
        </w:trPr>
        <w:tc>
          <w:tcPr>
            <w:tcW w:w="9800" w:type="dxa"/>
            <w:shd w:val="clear" w:color="auto" w:fill="auto"/>
            <w:noWrap/>
            <w:vAlign w:val="bottom"/>
            <w:hideMark/>
          </w:tcPr>
          <w:p w:rsidR="00BC1FC4" w:rsidRPr="00357F0D" w:rsidRDefault="00BC1FC4" w:rsidP="00B64D2A">
            <w:pPr>
              <w:spacing w:after="0" w:line="240" w:lineRule="auto"/>
              <w:rPr>
                <w:rFonts w:eastAsia="Times New Roman" w:cs="Arial"/>
                <w:b/>
                <w:bCs/>
                <w:color w:val="222A35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222A35" w:themeColor="text2" w:themeShade="80"/>
                <w:sz w:val="24"/>
                <w:szCs w:val="24"/>
              </w:rPr>
              <w:t>Część szczegółowa związana z daną specjalnością</w:t>
            </w:r>
            <w:r>
              <w:rPr>
                <w:rFonts w:eastAsia="Times New Roman" w:cs="Arial"/>
                <w:b/>
                <w:bCs/>
                <w:color w:val="222A35" w:themeColor="text2" w:themeShade="80"/>
                <w:sz w:val="24"/>
                <w:szCs w:val="24"/>
              </w:rPr>
              <w:t>:</w:t>
            </w:r>
          </w:p>
        </w:tc>
      </w:tr>
      <w:tr w:rsidR="00BC1FC4" w:rsidRPr="00357F0D" w:rsidTr="00B64D2A">
        <w:trPr>
          <w:trHeight w:val="578"/>
        </w:trPr>
        <w:tc>
          <w:tcPr>
            <w:tcW w:w="9800" w:type="dxa"/>
            <w:shd w:val="clear" w:color="auto" w:fill="auto"/>
            <w:hideMark/>
          </w:tcPr>
          <w:p w:rsidR="00BC1FC4" w:rsidRDefault="00BC1FC4" w:rsidP="00B64D2A">
            <w:pPr>
              <w:pStyle w:val="Akapitzlist"/>
              <w:spacing w:after="0" w:line="240" w:lineRule="auto"/>
              <w:jc w:val="both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</w:p>
          <w:p w:rsidR="00BC1FC4" w:rsidRDefault="00BC1FC4" w:rsidP="00BC1FC4">
            <w:pPr>
              <w:pStyle w:val="Akapitzlist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 xml:space="preserve">Analiza i ocena sytuacji finansowej przedsiębiorstwa, </w:t>
            </w:r>
          </w:p>
          <w:p w:rsidR="00BC1FC4" w:rsidRDefault="00BC1FC4" w:rsidP="00BC1FC4">
            <w:pPr>
              <w:pStyle w:val="Akapitzlist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 xml:space="preserve">Analiza ekonomiczna </w:t>
            </w:r>
          </w:p>
          <w:p w:rsidR="00BC1FC4" w:rsidRDefault="00BC1FC4" w:rsidP="00BC1FC4">
            <w:pPr>
              <w:pStyle w:val="Akapitzlist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  <w:r w:rsidRPr="00BC1FC4"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 xml:space="preserve">Zapoznanie się z technikami opracowywania i sporządzania sprawozdań finansowych </w:t>
            </w:r>
          </w:p>
          <w:p w:rsidR="00BC1FC4" w:rsidRDefault="00BC1FC4" w:rsidP="00BC1FC4">
            <w:pPr>
              <w:pStyle w:val="Akapitzlist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 xml:space="preserve">Badanie celów przedsiębiorstwa i realizowanej strategii </w:t>
            </w:r>
          </w:p>
          <w:p w:rsidR="00BC1FC4" w:rsidRDefault="00BC1FC4" w:rsidP="00BC1FC4">
            <w:pPr>
              <w:pStyle w:val="Akapitzlist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  <w:r w:rsidRPr="00BC1FC4"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 xml:space="preserve">Analiza danych statystycznych </w:t>
            </w:r>
          </w:p>
          <w:p w:rsidR="00BC1FC4" w:rsidRPr="00BC1FC4" w:rsidRDefault="00BC1FC4" w:rsidP="00BC1FC4">
            <w:pPr>
              <w:pStyle w:val="Akapitzlist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 xml:space="preserve">Udział w działaniach projektowych </w:t>
            </w:r>
          </w:p>
          <w:p w:rsidR="00BC1FC4" w:rsidRDefault="00BC1FC4" w:rsidP="00BC1FC4">
            <w:pPr>
              <w:pStyle w:val="Akapitzlist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>Prognozowanie ekonomiczne</w:t>
            </w:r>
          </w:p>
          <w:p w:rsidR="006C33B9" w:rsidRDefault="006C33B9" w:rsidP="00BC1FC4">
            <w:pPr>
              <w:pStyle w:val="Akapitzlist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>Obsługa systemów ERP</w:t>
            </w:r>
            <w:bookmarkStart w:id="0" w:name="_GoBack"/>
            <w:bookmarkEnd w:id="0"/>
          </w:p>
          <w:p w:rsidR="00BC1FC4" w:rsidRDefault="00BC1FC4" w:rsidP="00BC1FC4">
            <w:pPr>
              <w:pStyle w:val="Akapitzlist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>Inwestowanie na rynkach finansowych</w:t>
            </w:r>
          </w:p>
          <w:p w:rsidR="00BC1FC4" w:rsidRDefault="00BC1FC4" w:rsidP="00BC1FC4">
            <w:pPr>
              <w:pStyle w:val="Akapitzlist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 xml:space="preserve">Połączenia i przejęcia przedsiębiorstw </w:t>
            </w:r>
          </w:p>
          <w:p w:rsidR="00BC1FC4" w:rsidRPr="00E67C3F" w:rsidRDefault="00BC1FC4" w:rsidP="00B64D2A">
            <w:pPr>
              <w:pStyle w:val="Akapitzlist"/>
              <w:spacing w:after="0" w:line="240" w:lineRule="auto"/>
              <w:jc w:val="both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</w:p>
        </w:tc>
      </w:tr>
    </w:tbl>
    <w:p w:rsidR="00BC1FC4" w:rsidRDefault="00BC1FC4" w:rsidP="00BC1FC4"/>
    <w:p w:rsidR="00BC1FC4" w:rsidRPr="00731098" w:rsidRDefault="00BC1FC4" w:rsidP="00BC1FC4"/>
    <w:p w:rsidR="00BC1FC4" w:rsidRPr="00731098" w:rsidRDefault="00BC1FC4" w:rsidP="00BC1FC4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p w:rsidR="00BC1FC4" w:rsidRPr="00731098" w:rsidRDefault="00BC1FC4" w:rsidP="00BC1FC4"/>
    <w:p w:rsidR="00BC1FC4" w:rsidRPr="00731098" w:rsidRDefault="00BC1FC4" w:rsidP="00BC1FC4"/>
    <w:p w:rsidR="002D685A" w:rsidRDefault="002D685A"/>
    <w:sectPr w:rsidR="002D685A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AD5269"/>
    <w:multiLevelType w:val="hybridMultilevel"/>
    <w:tmpl w:val="C15C7D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8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FC4"/>
    <w:rsid w:val="002D685A"/>
    <w:rsid w:val="006C33B9"/>
    <w:rsid w:val="008237DB"/>
    <w:rsid w:val="00BC1FC4"/>
    <w:rsid w:val="00C90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A1054"/>
  <w15:chartTrackingRefBased/>
  <w15:docId w15:val="{42ACD662-E5D0-4D87-8D70-D43EF8FBC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BC1FC4"/>
    <w:pPr>
      <w:spacing w:after="200" w:line="276" w:lineRule="auto"/>
    </w:pPr>
    <w:rPr>
      <w:rFonts w:eastAsiaTheme="minorEastAsia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BC1F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D72661-1626-48B1-A9B0-1BA7EC8C9036}"/>
</file>

<file path=customXml/itemProps2.xml><?xml version="1.0" encoding="utf-8"?>
<ds:datastoreItem xmlns:ds="http://schemas.openxmlformats.org/officeDocument/2006/customXml" ds:itemID="{E4887109-AB5D-4AB8-9099-62AD946AC1C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2021-12-20T21:34:00Z</dcterms:created>
  <dcterms:modified xsi:type="dcterms:W3CDTF">2021-12-20T21:37:00Z</dcterms:modified>
</cp:coreProperties>
</file>