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0"/>
      </w:tblGrid>
      <w:tr>
        <w:tblPrEx>
          <w:shd w:val="clear" w:color="auto" w:fill="ced7e7"/>
        </w:tblPrEx>
        <w:trPr>
          <w:trHeight w:val="54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Kierunek: Prawo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/>
              <w:ind w:left="720" w:firstLine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Miejsce praktyki: Urz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d Miejski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miejsc: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23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Akapit z listą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a, sektor w 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rym funkcjonuje podmiot,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402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center"/>
          </w:tcPr>
          <w:p>
            <w:pPr>
              <w:pStyle w:val="Akapit z listą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danym miejscem:</w:t>
            </w:r>
          </w:p>
        </w:tc>
      </w:tr>
      <w:tr>
        <w:tblPrEx>
          <w:shd w:val="clear" w:color="auto" w:fill="ced7e7"/>
        </w:tblPrEx>
        <w:trPr>
          <w:trHeight w:val="412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top"/>
          </w:tcPr>
          <w:p>
            <w:pPr>
              <w:pStyle w:val="Akapit z listą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Zapoznanie si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ę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z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instrukcj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 kancelaryjna funkcjonowania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 Urz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du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Udzia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ł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obs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udze interesant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wykonywanie czynno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 zwi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zanych z naliczaniem podatk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i op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at lokalnych,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rozpatrywanie interwencji, petycji, skarg i wniosk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obywateli kierowanych do urz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du,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 przygotowywanie projekt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opinii akt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prawnych,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przygotowywanie projekt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decyzji administracyjnych i postanowie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ń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 przygotowywanie projekt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odpowiedzi na zapytania prawne,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 przygotowywanie projekt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pism do organ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adzy i administracji publicznej,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zapoznanie z aspektami prawnymi miejscowego planu zagospodarowania przestrzennego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zapoznanie si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ę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 zasadami wykonywania kontroli wewn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trznej.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</w:tbl>
    <w:p>
      <w:pPr>
        <w:pStyle w:val="Normalny"/>
        <w:spacing w:line="240" w:lineRule="auto"/>
      </w:pPr>
    </w:p>
    <w:p>
      <w:pPr>
        <w:pStyle w:val="Normalny"/>
      </w:pPr>
    </w:p>
    <w:p>
      <w:pPr>
        <w:pStyle w:val="Normalny"/>
        <w:tabs>
          <w:tab w:val="left" w:pos="1103"/>
        </w:tabs>
        <w:jc w:val="center"/>
      </w:pPr>
      <w:r>
        <w:rPr>
          <w:sz w:val="20"/>
          <w:szCs w:val="20"/>
          <w:rtl w:val="0"/>
        </w:rPr>
        <w:t>Je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eli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firma,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swoj</w:t>
      </w:r>
      <w:r>
        <w:rPr>
          <w:sz w:val="20"/>
          <w:szCs w:val="20"/>
          <w:rtl w:val="0"/>
        </w:rPr>
        <w:t xml:space="preserve">ą </w:t>
      </w:r>
      <w:r>
        <w:rPr>
          <w:sz w:val="20"/>
          <w:szCs w:val="20"/>
          <w:rtl w:val="0"/>
        </w:rPr>
        <w:t>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nie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 zrealizowa</w:t>
      </w:r>
      <w:r>
        <w:rPr>
          <w:sz w:val="20"/>
          <w:szCs w:val="20"/>
          <w:rtl w:val="0"/>
        </w:rPr>
        <w:t xml:space="preserve">ć </w:t>
      </w:r>
      <w:r>
        <w:rPr>
          <w:sz w:val="20"/>
          <w:szCs w:val="20"/>
          <w:rtl w:val="0"/>
        </w:rPr>
        <w:t>niekt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rych punkt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programu,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liwe jest ich pomini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cie. Jednocze</w:t>
      </w:r>
      <w:r>
        <w:rPr>
          <w:sz w:val="20"/>
          <w:szCs w:val="20"/>
          <w:rtl w:val="0"/>
        </w:rPr>
        <w:t>ś</w:t>
      </w:r>
      <w:r>
        <w:rPr>
          <w:sz w:val="20"/>
          <w:szCs w:val="20"/>
          <w:rtl w:val="0"/>
        </w:rPr>
        <w:t>nie prosimy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o zapoznanie student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z zagadnieniami nie obj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tymi niniejszym programem, o ile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firmy takowe wyst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puj</w:t>
      </w:r>
      <w:r>
        <w:rPr>
          <w:sz w:val="20"/>
          <w:szCs w:val="20"/>
          <w:rtl w:val="0"/>
        </w:rPr>
        <w:t>ą</w:t>
      </w:r>
      <w:r>
        <w:rPr>
          <w:sz w:val="20"/>
          <w:szCs w:val="20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Akapit z listą">
    <w:name w:val="Akapit z listą"/>
    <w:next w:val="Akapit z listą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D98E37F7-A2CE-48EE-9D6B-0341C1098ACA}"/>
</file>

<file path=customXml/itemProps2.xml><?xml version="1.0" encoding="utf-8"?>
<ds:datastoreItem xmlns:ds="http://schemas.openxmlformats.org/officeDocument/2006/customXml" ds:itemID="{322FC3FF-195A-4585-89A9-1127404C63CA}"/>
</file>

<file path=customXml/itemProps3.xml><?xml version="1.0" encoding="utf-8"?>
<ds:datastoreItem xmlns:ds="http://schemas.openxmlformats.org/officeDocument/2006/customXml" ds:itemID="{1211C845-8AFD-4975-A990-1CD71279CCE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