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6"/>
          <w:szCs w:val="26"/>
          <w:rtl w:val="0"/>
        </w:rPr>
        <w:t xml:space="preserve">THE CONNECT OF MOBILE EDGE COMPUTING - A COMPREHENSIVE REVIEW </w:t>
      </w:r>
    </w:p>
    <w:p w:rsidR="00000000" w:rsidDel="00000000" w:rsidP="00000000" w:rsidRDefault="00000000" w:rsidRPr="00000000" w14:paraId="00000002">
      <w:pPr>
        <w:spacing w:line="480" w:lineRule="auto"/>
        <w:rPr>
          <w:sz w:val="28"/>
          <w:szCs w:val="28"/>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3">
      <w:pPr>
        <w:spacing w:line="360" w:lineRule="auto"/>
        <w:jc w:val="both"/>
        <w:rPr>
          <w:sz w:val="28"/>
          <w:szCs w:val="28"/>
        </w:rPr>
      </w:pPr>
      <w:r w:rsidDel="00000000" w:rsidR="00000000" w:rsidRPr="00000000">
        <w:rPr>
          <w:sz w:val="28"/>
          <w:szCs w:val="28"/>
          <w:rtl w:val="0"/>
        </w:rPr>
        <w:t xml:space="preserve">Mobile computing has shifted in recent years, from centralised mobile cloud computing to mobile edge computing. The goal of transiting to the newer environment is to minimise latency, provide high-performance network and service delivery, and provide a better user experience. The key characteristic of mobile edge computing is that it pushes processing, network management, and storage to the network edges, allowing computation-intensive and latency-critical applications to run on resource-constrained mobile devices. Since it provides execution resources for applications with networking close to the end-users, typically within or at the boundary of operator networks, it allows high data processing and the possible presentation of dynamic real-time apps which will be part of the futuristic 5G technology. This paper reviews mobile edge computing and its progress along with the opportunities, challenges and threats involved in this environment.</w:t>
      </w:r>
    </w:p>
    <w:p w:rsidR="00000000" w:rsidDel="00000000" w:rsidP="00000000" w:rsidRDefault="00000000" w:rsidRPr="00000000" w14:paraId="00000004">
      <w:pPr>
        <w:spacing w:line="360" w:lineRule="auto"/>
        <w:jc w:val="both"/>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6wbm+7BD5t+1umrwSysqeNGSQ==">AMUW2mVt/D21aZAocdaXhJdYEERIutcUiled6tUOG7nTg7vwnqcvpBVSMl+7IGi5P4sF+CWRgK/pDUTSEdW+HbEPARHqrfvOyVNrZSBQpkK6YREqYESKe5Q=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