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40"/>
        <w:ind w:hanging="0"/>
        <w:jc w:val="center"/>
        <w:rPr/>
      </w:pPr>
      <w:r>
        <w:rPr>
          <w:b/>
          <w:sz w:val="28"/>
        </w:rPr>
        <w:t>VILNIAUS GEDIMINO TECHNIKOS UNIVERSITETAS</w:t>
      </w:r>
    </w:p>
    <w:p>
      <w:pPr>
        <w:pStyle w:val="Normal"/>
        <w:spacing w:before="0" w:after="240"/>
        <w:ind w:hanging="0"/>
        <w:jc w:val="center"/>
        <w:rPr/>
      </w:pPr>
      <w:r>
        <w:rPr>
          <w:b/>
          <w:sz w:val="28"/>
        </w:rPr>
        <w:t>VILNIUS TECH</w:t>
      </w:r>
    </w:p>
    <w:p>
      <w:pPr>
        <w:pStyle w:val="Normal"/>
        <w:spacing w:before="0" w:after="240"/>
        <w:ind w:hanging="0"/>
        <w:jc w:val="center"/>
        <w:rPr/>
      </w:pPr>
      <w:r>
        <w:rPr>
          <w:b w:val="false"/>
          <w:sz w:val="24"/>
        </w:rPr>
        <w:t>[Fakultetas ir katedra – įrašyti]</w:t>
      </w:r>
    </w:p>
    <w:p>
      <w:pPr>
        <w:pStyle w:val="Normal"/>
        <w:spacing w:before="0" w:after="240"/>
        <w:ind w:hanging="0"/>
        <w:jc w:val="center"/>
        <w:rPr/>
      </w:pPr>
      <w:r>
        <w:rPr/>
      </w:r>
    </w:p>
    <w:p>
      <w:pPr>
        <w:pStyle w:val="Normal"/>
        <w:spacing w:before="0" w:after="240"/>
        <w:ind w:hanging="0"/>
        <w:jc w:val="center"/>
        <w:rPr/>
      </w:pPr>
      <w:r>
        <w:rPr/>
      </w:r>
    </w:p>
    <w:p>
      <w:pPr>
        <w:pStyle w:val="Normal"/>
        <w:spacing w:before="0" w:after="240"/>
        <w:ind w:hanging="0"/>
        <w:jc w:val="center"/>
        <w:rPr/>
      </w:pPr>
      <w:r>
        <w:rPr>
          <w:b/>
          <w:sz w:val="28"/>
        </w:rPr>
        <w:t>KNYGNEŠYS: KODO KOKYBĖS METRIKŲ SKAIČIAVIMAS, STATINĖ KODO ANALIZĖ IR KODO PERŽIŪRA</w:t>
      </w:r>
    </w:p>
    <w:p>
      <w:pPr>
        <w:pStyle w:val="Normal"/>
        <w:spacing w:before="0" w:after="240"/>
        <w:ind w:hanging="0"/>
        <w:jc w:val="center"/>
        <w:rPr/>
      </w:pPr>
      <w:r>
        <w:rPr>
          <w:b w:val="false"/>
          <w:sz w:val="24"/>
        </w:rPr>
        <w:t>Pirmojo namų darbo ataskaita</w:t>
      </w:r>
    </w:p>
    <w:p>
      <w:pPr>
        <w:pStyle w:val="Normal"/>
        <w:spacing w:before="0" w:after="240"/>
        <w:ind w:hanging="0"/>
        <w:jc w:val="center"/>
        <w:rPr/>
      </w:pPr>
      <w:r>
        <w:rPr>
          <w:b w:val="false"/>
          <w:sz w:val="24"/>
        </w:rPr>
        <w:t>Dviejų studentų komanda</w:t>
      </w:r>
    </w:p>
    <w:p>
      <w:pPr>
        <w:pStyle w:val="Normal"/>
        <w:spacing w:before="0" w:after="240"/>
        <w:ind w:hanging="0"/>
        <w:jc w:val="center"/>
        <w:rPr/>
      </w:pPr>
      <w:r>
        <w:rPr/>
      </w:r>
    </w:p>
    <w:p>
      <w:pPr>
        <w:pStyle w:val="Normal"/>
        <w:spacing w:before="0" w:after="240"/>
        <w:ind w:hanging="0"/>
        <w:jc w:val="center"/>
        <w:rPr/>
      </w:pPr>
      <w:r>
        <w:rPr>
          <w:b w:val="false"/>
          <w:sz w:val="24"/>
        </w:rPr>
        <w:t>[Studentų vardai, pavardės ir grupė – įrašyti]</w:t>
      </w:r>
    </w:p>
    <w:p>
      <w:pPr>
        <w:pStyle w:val="Normal"/>
        <w:spacing w:before="0" w:after="240"/>
        <w:ind w:hanging="0"/>
        <w:jc w:val="center"/>
        <w:rPr/>
      </w:pPr>
      <w:r>
        <w:rPr>
          <w:b w:val="false"/>
          <w:sz w:val="24"/>
        </w:rPr>
        <w:t>Dėstytojas: dr. Justas Kazanavičius</w:t>
      </w:r>
    </w:p>
    <w:p>
      <w:pPr>
        <w:pStyle w:val="Normal"/>
        <w:spacing w:before="0" w:after="240"/>
        <w:ind w:hanging="0"/>
        <w:jc w:val="center"/>
        <w:rPr/>
      </w:pPr>
      <w:r>
        <w:rPr/>
      </w:r>
    </w:p>
    <w:p>
      <w:pPr>
        <w:pStyle w:val="Normal"/>
        <w:spacing w:before="0" w:after="240"/>
        <w:ind w:hanging="0"/>
        <w:jc w:val="center"/>
        <w:rPr/>
      </w:pPr>
      <w:r>
        <w:rPr>
          <w:b w:val="false"/>
          <w:sz w:val="24"/>
        </w:rPr>
        <w:t>Vilnius, 2026</w:t>
      </w:r>
      <w:r>
        <w:br w:type="page"/>
      </w:r>
    </w:p>
    <w:p>
      <w:pPr>
        <w:pStyle w:val="TOCHeading"/>
        <w:ind w:hanging="0"/>
        <w:jc w:val="center"/>
        <w:rPr/>
      </w:pPr>
      <w:r>
        <w:rPr>
          <w:b/>
          <w:sz w:val="28"/>
        </w:rPr>
        <w:t>TURINYS</w:t>
      </w:r>
    </w:p>
    <w:sdt>
      <w:sdtPr>
        <w:docPartObj>
          <w:docPartGallery w:val="Table of Contents"/>
          <w:docPartUnique w:val="true"/>
        </w:docPartObj>
      </w:sdtPr>
      <w:sdtContent>
        <w:p>
          <w:pPr>
            <w:pStyle w:val="TOC1"/>
            <w:tabs>
              <w:tab w:val="clear" w:pos="9638"/>
              <w:tab w:val="right" w:pos="9637" w:leader="dot"/>
            </w:tabs>
            <w:rPr/>
          </w:pPr>
          <w:r>
            <w:fldChar w:fldCharType="begin"/>
          </w:r>
          <w:r>
            <w:rPr>
              <w:rStyle w:val="IndexLink"/>
            </w:rPr>
            <w:instrText xml:space="preserve"> TOC \o "1-3" \h</w:instrText>
          </w:r>
          <w:r>
            <w:rPr>
              <w:rStyle w:val="IndexLink"/>
            </w:rPr>
            <w:fldChar w:fldCharType="separate"/>
          </w:r>
          <w:hyperlink w:anchor="__RefHeading___Toc4316_3682259208" w:tooltip="1. Įvadas ir tyrimo apimtis">
            <w:r>
              <w:rPr>
                <w:rStyle w:val="IndexLink"/>
              </w:rPr>
              <w:t>1. Įvadas ir tyrimo apimtis</w:t>
              <w:tab/>
              <w:t>4</w:t>
            </w:r>
          </w:hyperlink>
        </w:p>
        <w:p>
          <w:pPr>
            <w:pStyle w:val="TOC2"/>
            <w:tabs>
              <w:tab w:val="clear" w:pos="9355"/>
              <w:tab w:val="right" w:pos="9637" w:leader="dot"/>
            </w:tabs>
            <w:rPr/>
          </w:pPr>
          <w:hyperlink w:anchor="__RefHeading___Toc4318_3682259208" w:tooltip="1.1. Darbo tikslas ir užduotys">
            <w:r>
              <w:rPr>
                <w:rStyle w:val="IndexLink"/>
              </w:rPr>
              <w:t>1.1. Darbo tikslas ir užduotys</w:t>
              <w:tab/>
              <w:t>4</w:t>
            </w:r>
          </w:hyperlink>
        </w:p>
        <w:p>
          <w:pPr>
            <w:pStyle w:val="TOC2"/>
            <w:tabs>
              <w:tab w:val="clear" w:pos="9355"/>
              <w:tab w:val="right" w:pos="9637" w:leader="dot"/>
            </w:tabs>
            <w:rPr/>
          </w:pPr>
          <w:hyperlink w:anchor="__RefHeading___Toc4320_3682259208" w:tooltip="1.2. Sistemos pasirinkimo pagrindimas">
            <w:r>
              <w:rPr>
                <w:rStyle w:val="IndexLink"/>
              </w:rPr>
              <w:t>1.2. Sistemos pasirinkimo pagrindimas</w:t>
              <w:tab/>
              <w:t>4</w:t>
            </w:r>
          </w:hyperlink>
        </w:p>
        <w:p>
          <w:pPr>
            <w:pStyle w:val="TOC2"/>
            <w:tabs>
              <w:tab w:val="clear" w:pos="9355"/>
              <w:tab w:val="right" w:pos="9637" w:leader="dot"/>
            </w:tabs>
            <w:rPr/>
          </w:pPr>
          <w:hyperlink w:anchor="__RefHeading___Toc4322_3682259208" w:tooltip="1.3. Architektūra ir analizės ribos">
            <w:r>
              <w:rPr>
                <w:rStyle w:val="IndexLink"/>
              </w:rPr>
              <w:t>1.3. Architektūra ir analizės ribos</w:t>
              <w:tab/>
              <w:t>4</w:t>
            </w:r>
          </w:hyperlink>
        </w:p>
        <w:p>
          <w:pPr>
            <w:pStyle w:val="TOC2"/>
            <w:tabs>
              <w:tab w:val="clear" w:pos="9355"/>
              <w:tab w:val="right" w:pos="9637" w:leader="dot"/>
            </w:tabs>
            <w:rPr/>
          </w:pPr>
          <w:hyperlink w:anchor="__RefHeading___Toc4324_3682259208" w:tooltip="1.4. Patikimumo taisyklės">
            <w:r>
              <w:rPr>
                <w:rStyle w:val="IndexLink"/>
              </w:rPr>
              <w:t>1.4. Patikimumo taisyklės</w:t>
              <w:tab/>
              <w:t>5</w:t>
            </w:r>
          </w:hyperlink>
        </w:p>
        <w:p>
          <w:pPr>
            <w:pStyle w:val="TOC1"/>
            <w:tabs>
              <w:tab w:val="clear" w:pos="9638"/>
              <w:tab w:val="right" w:pos="9637" w:leader="dot"/>
            </w:tabs>
            <w:rPr/>
          </w:pPr>
          <w:hyperlink w:anchor="__RefHeading___Toc4326_3682259208" w:tooltip="2. Tyrimo metodika ir įrankiai">
            <w:r>
              <w:rPr>
                <w:rStyle w:val="IndexLink"/>
              </w:rPr>
              <w:t>2. Tyrimo metodika ir įrankiai</w:t>
              <w:tab/>
              <w:t>6</w:t>
            </w:r>
          </w:hyperlink>
        </w:p>
        <w:p>
          <w:pPr>
            <w:pStyle w:val="TOC2"/>
            <w:tabs>
              <w:tab w:val="clear" w:pos="9355"/>
              <w:tab w:val="right" w:pos="9637" w:leader="dot"/>
            </w:tabs>
            <w:rPr/>
          </w:pPr>
          <w:hyperlink w:anchor="__RefHeading___Toc4328_3682259208" w:tooltip="2.1. Sudėtingumo samprata">
            <w:r>
              <w:rPr>
                <w:rStyle w:val="IndexLink"/>
              </w:rPr>
              <w:t>2.1. Sudėtingumo samprata</w:t>
              <w:tab/>
              <w:t>6</w:t>
            </w:r>
          </w:hyperlink>
        </w:p>
        <w:p>
          <w:pPr>
            <w:pStyle w:val="TOC2"/>
            <w:tabs>
              <w:tab w:val="clear" w:pos="9355"/>
              <w:tab w:val="right" w:pos="9637" w:leader="dot"/>
            </w:tabs>
            <w:rPr/>
          </w:pPr>
          <w:hyperlink w:anchor="__RefHeading___Toc4330_3682259208" w:tooltip="2.2. Prižiūrimumo rodiklio samprata">
            <w:r>
              <w:rPr>
                <w:rStyle w:val="IndexLink"/>
              </w:rPr>
              <w:t>2.2. Prižiūrimumo rodiklio samprata</w:t>
              <w:tab/>
              <w:t>6</w:t>
            </w:r>
          </w:hyperlink>
        </w:p>
        <w:p>
          <w:pPr>
            <w:pStyle w:val="TOC2"/>
            <w:tabs>
              <w:tab w:val="clear" w:pos="9355"/>
              <w:tab w:val="right" w:pos="9637" w:leader="dot"/>
            </w:tabs>
            <w:rPr/>
          </w:pPr>
          <w:hyperlink w:anchor="__RefHeading___Toc4332_3682259208" w:tooltip="2.3. Statinės analizės ir peržiūros derinimas">
            <w:r>
              <w:rPr>
                <w:rStyle w:val="IndexLink"/>
              </w:rPr>
              <w:t>2.3. Statinės analizės ir peržiūros derinimas</w:t>
              <w:tab/>
              <w:t>6</w:t>
            </w:r>
          </w:hyperlink>
        </w:p>
        <w:p>
          <w:pPr>
            <w:pStyle w:val="TOC1"/>
            <w:tabs>
              <w:tab w:val="clear" w:pos="9638"/>
              <w:tab w:val="right" w:pos="9637" w:leader="dot"/>
            </w:tabs>
            <w:rPr/>
          </w:pPr>
          <w:hyperlink w:anchor="__RefHeading___Toc4334_3682259208" w:tooltip="3. Faktiškai atliktos patikros ir įrankių versijos">
            <w:r>
              <w:rPr>
                <w:rStyle w:val="IndexLink"/>
              </w:rPr>
              <w:t>3. Faktiškai atliktos patikros ir įrankių versijos</w:t>
              <w:tab/>
              <w:t>8</w:t>
            </w:r>
          </w:hyperlink>
        </w:p>
        <w:p>
          <w:pPr>
            <w:pStyle w:val="TOC2"/>
            <w:tabs>
              <w:tab w:val="clear" w:pos="9355"/>
              <w:tab w:val="right" w:pos="9637" w:leader="dot"/>
            </w:tabs>
            <w:rPr/>
          </w:pPr>
          <w:hyperlink w:anchor="__RefHeading___Toc4336_3682259208" w:tooltip="3.1. Naudoti įrankiai ir pasirinkimas">
            <w:r>
              <w:rPr>
                <w:rStyle w:val="IndexLink"/>
              </w:rPr>
              <w:t>3.1. Naudoti įrankiai ir pasirinkimas</w:t>
              <w:tab/>
              <w:t>8</w:t>
            </w:r>
          </w:hyperlink>
        </w:p>
        <w:p>
          <w:pPr>
            <w:pStyle w:val="TOC2"/>
            <w:tabs>
              <w:tab w:val="clear" w:pos="9355"/>
              <w:tab w:val="right" w:pos="9637" w:leader="dot"/>
            </w:tabs>
            <w:rPr/>
          </w:pPr>
          <w:hyperlink w:anchor="__RefHeading___Toc4338_3682259208" w:tooltip="3.2. Kompiliavimas, testai ir lint rezultatai">
            <w:r>
              <w:rPr>
                <w:rStyle w:val="IndexLink"/>
              </w:rPr>
              <w:t>3.2. Kompiliavimas, testai ir lint rezultatai</w:t>
              <w:tab/>
              <w:t>8</w:t>
            </w:r>
          </w:hyperlink>
        </w:p>
        <w:p>
          <w:pPr>
            <w:pStyle w:val="TOC2"/>
            <w:tabs>
              <w:tab w:val="clear" w:pos="9355"/>
              <w:tab w:val="right" w:pos="9637" w:leader="dot"/>
            </w:tabs>
            <w:rPr/>
          </w:pPr>
          <w:hyperlink w:anchor="__RefHeading___Toc4340_3682259208" w:tooltip="3.3. Realaus vykdymo patikra">
            <w:r>
              <w:rPr>
                <w:rStyle w:val="IndexLink"/>
              </w:rPr>
              <w:t>3.3. Realaus vykdymo patikra</w:t>
              <w:tab/>
              <w:t>9</w:t>
            </w:r>
          </w:hyperlink>
        </w:p>
        <w:p>
          <w:pPr>
            <w:pStyle w:val="TOC1"/>
            <w:tabs>
              <w:tab w:val="clear" w:pos="9638"/>
              <w:tab w:val="right" w:pos="9637" w:leader="dot"/>
            </w:tabs>
            <w:rPr/>
          </w:pPr>
          <w:hyperlink w:anchor="__RefHeading___Toc4342_3682259208" w:tooltip="4. Sudėtingumo metrikos ir testuojamumas">
            <w:r>
              <w:rPr>
                <w:rStyle w:val="IndexLink"/>
              </w:rPr>
              <w:t>4. Sudėtingumo metrikos ir testuojamumas</w:t>
              <w:tab/>
              <w:t>10</w:t>
            </w:r>
          </w:hyperlink>
        </w:p>
        <w:p>
          <w:pPr>
            <w:pStyle w:val="TOC2"/>
            <w:tabs>
              <w:tab w:val="clear" w:pos="9355"/>
              <w:tab w:val="right" w:pos="9637" w:leader="dot"/>
            </w:tabs>
            <w:rPr/>
          </w:pPr>
          <w:hyperlink w:anchor="__RefHeading___Toc4344_3682259208" w:tooltip="4.1. Penki atrinkti metodai">
            <w:r>
              <w:rPr>
                <w:rStyle w:val="IndexLink"/>
              </w:rPr>
              <w:t>4.1. Penki atrinkti metodai</w:t>
              <w:tab/>
              <w:t>10</w:t>
            </w:r>
          </w:hyperlink>
        </w:p>
        <w:p>
          <w:pPr>
            <w:pStyle w:val="TOC2"/>
            <w:tabs>
              <w:tab w:val="clear" w:pos="9355"/>
              <w:tab w:val="right" w:pos="9637" w:leader="dot"/>
            </w:tabs>
            <w:rPr/>
          </w:pPr>
          <w:hyperlink w:anchor="__RefHeading___Toc4346_3682259208" w:tooltip="4.2. Rankinis applyFilters ciklomatinio balo pagrindimas">
            <w:r>
              <w:rPr>
                <w:rStyle w:val="IndexLink"/>
              </w:rPr>
              <w:t>4.2. Rankinis applyFilters ciklomatinio balo pagrindimas</w:t>
              <w:tab/>
              <w:t>10</w:t>
            </w:r>
          </w:hyperlink>
        </w:p>
        <w:p>
          <w:pPr>
            <w:pStyle w:val="TOC2"/>
            <w:tabs>
              <w:tab w:val="clear" w:pos="9355"/>
              <w:tab w:val="right" w:pos="9637" w:leader="dot"/>
            </w:tabs>
            <w:rPr/>
          </w:pPr>
          <w:hyperlink w:anchor="__RefHeading___Toc4348_3682259208" w:tooltip="4.3. Minimalūs testavimo tikslai ir apribojimai">
            <w:r>
              <w:rPr>
                <w:rStyle w:val="IndexLink"/>
              </w:rPr>
              <w:t>4.3. Minimalūs testavimo tikslai ir apribojimai</w:t>
              <w:tab/>
              <w:t>11</w:t>
            </w:r>
          </w:hyperlink>
        </w:p>
        <w:p>
          <w:pPr>
            <w:pStyle w:val="TOC1"/>
            <w:tabs>
              <w:tab w:val="clear" w:pos="9638"/>
              <w:tab w:val="right" w:pos="9637" w:leader="dot"/>
            </w:tabs>
            <w:rPr/>
          </w:pPr>
          <w:hyperlink w:anchor="__RefHeading___Toc4350_3682259208" w:tooltip="5. Prižiūrimumas, struktūra ir dalių priklausomybės">
            <w:r>
              <w:rPr>
                <w:rStyle w:val="IndexLink"/>
              </w:rPr>
              <w:t>5. Prižiūrimumas, struktūra ir dalių priklausomybės</w:t>
              <w:tab/>
              <w:t>12</w:t>
            </w:r>
          </w:hyperlink>
        </w:p>
        <w:p>
          <w:pPr>
            <w:pStyle w:val="TOC2"/>
            <w:tabs>
              <w:tab w:val="clear" w:pos="9355"/>
              <w:tab w:val="right" w:pos="9637" w:leader="dot"/>
            </w:tabs>
            <w:rPr/>
          </w:pPr>
          <w:hyperlink w:anchor="__RefHeading___Toc4352_3682259208" w:tooltip="5.1. Pagrindinis prižiūrimumo rezultatas: SonarQube">
            <w:r>
              <w:rPr>
                <w:rStyle w:val="IndexLink"/>
              </w:rPr>
              <w:t>5.1. Pagrindinis prižiūrimumo rezultatas: SonarQube</w:t>
              <w:tab/>
              <w:t>12</w:t>
            </w:r>
          </w:hyperlink>
        </w:p>
        <w:p>
          <w:pPr>
            <w:pStyle w:val="TOC2"/>
            <w:tabs>
              <w:tab w:val="clear" w:pos="9355"/>
              <w:tab w:val="right" w:pos="9637" w:leader="dot"/>
            </w:tabs>
            <w:rPr/>
          </w:pPr>
          <w:hyperlink w:anchor="__RefHeading___Toc4354_3682259208" w:tooltip="5.2. Papildomas MI ir kritinis jo tikrinimas">
            <w:r>
              <w:rPr>
                <w:rStyle w:val="IndexLink"/>
              </w:rPr>
              <w:t>5.2. Papildomas MI ir kritinis jo tikrinimas</w:t>
              <w:tab/>
              <w:t>12</w:t>
            </w:r>
          </w:hyperlink>
        </w:p>
        <w:p>
          <w:pPr>
            <w:pStyle w:val="TOC2"/>
            <w:tabs>
              <w:tab w:val="clear" w:pos="9355"/>
              <w:tab w:val="right" w:pos="9637" w:leader="dot"/>
            </w:tabs>
            <w:rPr/>
          </w:pPr>
          <w:hyperlink w:anchor="__RefHeading___Toc4356_3682259208" w:tooltip="5.3. Serverio OO struktūra">
            <w:r>
              <w:rPr>
                <w:rStyle w:val="IndexLink"/>
              </w:rPr>
              <w:t>5.3. Serverio OO struktūra</w:t>
              <w:tab/>
              <w:t>13</w:t>
            </w:r>
          </w:hyperlink>
        </w:p>
        <w:p>
          <w:pPr>
            <w:pStyle w:val="TOC2"/>
            <w:tabs>
              <w:tab w:val="clear" w:pos="9355"/>
              <w:tab w:val="right" w:pos="9637" w:leader="dot"/>
            </w:tabs>
            <w:rPr/>
          </w:pPr>
          <w:hyperlink w:anchor="__RefHeading___Toc4358_3682259208" w:tooltip="5.4. Kliento modulinė struktūra">
            <w:r>
              <w:rPr>
                <w:rStyle w:val="IndexLink"/>
              </w:rPr>
              <w:t>5.4. Kliento modulinė struktūra</w:t>
              <w:tab/>
              <w:t>13</w:t>
            </w:r>
          </w:hyperlink>
        </w:p>
        <w:p>
          <w:pPr>
            <w:pStyle w:val="TOC2"/>
            <w:tabs>
              <w:tab w:val="clear" w:pos="9355"/>
              <w:tab w:val="right" w:pos="9637" w:leader="dot"/>
            </w:tabs>
            <w:rPr/>
          </w:pPr>
          <w:hyperlink w:anchor="__RefHeading___Toc4360_3682259208" w:tooltip="5.5. Cohesion ir coupling interpretacija">
            <w:r>
              <w:rPr>
                <w:rStyle w:val="IndexLink"/>
              </w:rPr>
              <w:t>5.5. Cohesion ir coupling interpretacija</w:t>
              <w:tab/>
              <w:t>13</w:t>
            </w:r>
          </w:hyperlink>
        </w:p>
        <w:p>
          <w:pPr>
            <w:pStyle w:val="TOC1"/>
            <w:tabs>
              <w:tab w:val="clear" w:pos="9638"/>
              <w:tab w:val="right" w:pos="9637" w:leader="dot"/>
            </w:tabs>
            <w:rPr/>
          </w:pPr>
          <w:hyperlink w:anchor="__RefHeading___Toc4362_3682259208" w:tooltip="6. Statinės analizės rezultatai ir šešios skirtingos problemos">
            <w:r>
              <w:rPr>
                <w:rStyle w:val="IndexLink"/>
              </w:rPr>
              <w:t>6. Statinės analizės rezultatai ir šešios skirtingos problemos</w:t>
              <w:tab/>
              <w:t>15</w:t>
            </w:r>
          </w:hyperlink>
        </w:p>
        <w:p>
          <w:pPr>
            <w:pStyle w:val="TOC2"/>
            <w:tabs>
              <w:tab w:val="clear" w:pos="9355"/>
              <w:tab w:val="right" w:pos="9637" w:leader="dot"/>
            </w:tabs>
            <w:rPr/>
          </w:pPr>
          <w:hyperlink w:anchor="__RefHeading___Toc4364_3682259208" w:tooltip="6.1. Bendri rezultatai ir jų ribos">
            <w:r>
              <w:rPr>
                <w:rStyle w:val="IndexLink"/>
              </w:rPr>
              <w:t>6.1. Bendri rezultatai ir jų ribos</w:t>
              <w:tab/>
              <w:t>15</w:t>
            </w:r>
          </w:hyperlink>
        </w:p>
        <w:p>
          <w:pPr>
            <w:pStyle w:val="TOC2"/>
            <w:tabs>
              <w:tab w:val="clear" w:pos="9355"/>
              <w:tab w:val="right" w:pos="9637" w:leader="dot"/>
            </w:tabs>
            <w:rPr/>
          </w:pPr>
          <w:hyperlink w:anchor="__RefHeading___Toc4366_3682259208" w:tooltip="6.2. P1 – netinkama slaptažodžių saugojimo priemonė">
            <w:r>
              <w:rPr>
                <w:rStyle w:val="IndexLink"/>
              </w:rPr>
              <w:t>6.2. P1 – netinkama slaptažodžių saugojimo priemonė</w:t>
              <w:tab/>
              <w:t>15</w:t>
            </w:r>
          </w:hyperlink>
        </w:p>
        <w:p>
          <w:pPr>
            <w:pStyle w:val="TOC2"/>
            <w:tabs>
              <w:tab w:val="clear" w:pos="9355"/>
              <w:tab w:val="right" w:pos="9637" w:leader="dot"/>
            </w:tabs>
            <w:rPr/>
          </w:pPr>
          <w:hyperlink w:anchor="__RefHeading___Toc4368_3682259208" w:tooltip="6.3. P2 – CSRF apsauga išjungta sesijos sistemoje">
            <w:r>
              <w:rPr>
                <w:rStyle w:val="IndexLink"/>
              </w:rPr>
              <w:t>6.3. P2 – CSRF apsauga išjungta sesijos sistemoje</w:t>
              <w:tab/>
              <w:t>15</w:t>
            </w:r>
          </w:hyperlink>
        </w:p>
        <w:p>
          <w:pPr>
            <w:pStyle w:val="TOC2"/>
            <w:tabs>
              <w:tab w:val="clear" w:pos="9355"/>
              <w:tab w:val="right" w:pos="9637" w:leader="dot"/>
            </w:tabs>
            <w:rPr/>
          </w:pPr>
          <w:hyperlink w:anchor="__RefHeading___Toc4370_3682259208" w:tooltip="6.4. P3 – įdėtas statistikos grupavimo valdymo srautas">
            <w:r>
              <w:rPr>
                <w:rStyle w:val="IndexLink"/>
              </w:rPr>
              <w:t>6.4. P3 – įdėtas statistikos grupavimo valdymo srautas</w:t>
              <w:tab/>
              <w:t>16</w:t>
            </w:r>
          </w:hyperlink>
        </w:p>
        <w:p>
          <w:pPr>
            <w:pStyle w:val="TOC2"/>
            <w:tabs>
              <w:tab w:val="clear" w:pos="9355"/>
              <w:tab w:val="right" w:pos="9637" w:leader="dot"/>
            </w:tabs>
            <w:rPr/>
          </w:pPr>
          <w:hyperlink w:anchor="__RefHeading___Toc4372_3682259208" w:tooltip="6.5. P4 – paieškos įvedimas be aiškaus label ryšio">
            <w:r>
              <w:rPr>
                <w:rStyle w:val="IndexLink"/>
              </w:rPr>
              <w:t>6.5. P4 – paieškos įvedimas be aiškaus label ryšio</w:t>
              <w:tab/>
              <w:t>16</w:t>
            </w:r>
          </w:hyperlink>
        </w:p>
        <w:p>
          <w:pPr>
            <w:pStyle w:val="TOC2"/>
            <w:tabs>
              <w:tab w:val="clear" w:pos="9355"/>
              <w:tab w:val="right" w:pos="9637" w:leader="dot"/>
            </w:tabs>
            <w:rPr/>
          </w:pPr>
          <w:hyperlink w:anchor="__RefHeading___Toc4374_3682259208" w:tooltip="6.6. P5 – bibliotekos filtras valdomas tik paspaudimu">
            <w:r>
              <w:rPr>
                <w:rStyle w:val="IndexLink"/>
              </w:rPr>
              <w:t>6.6. P5 – bibliotekos filtras valdomas tik paspaudimu</w:t>
              <w:tab/>
              <w:t>16</w:t>
            </w:r>
          </w:hyperlink>
        </w:p>
        <w:p>
          <w:pPr>
            <w:pStyle w:val="TOC2"/>
            <w:tabs>
              <w:tab w:val="clear" w:pos="9355"/>
              <w:tab w:val="right" w:pos="9637" w:leader="dot"/>
            </w:tabs>
            <w:rPr/>
          </w:pPr>
          <w:hyperlink w:anchor="__RefHeading___Toc4376_3682259208" w:tooltip="6.7. P6 – int operacija prieš long konversiją">
            <w:r>
              <w:rPr>
                <w:rStyle w:val="IndexLink"/>
              </w:rPr>
              <w:t>6.7. P6 – int operacija prieš long konversiją</w:t>
              <w:tab/>
              <w:t>17</w:t>
            </w:r>
          </w:hyperlink>
        </w:p>
        <w:p>
          <w:pPr>
            <w:pStyle w:val="TOC1"/>
            <w:tabs>
              <w:tab w:val="clear" w:pos="9638"/>
              <w:tab w:val="right" w:pos="9637" w:leader="dot"/>
            </w:tabs>
            <w:rPr/>
          </w:pPr>
          <w:hyperlink w:anchor="__RefHeading___Toc4378_3682259208" w:tooltip="7. Dviejų komandos narių kodo peržiūra">
            <w:r>
              <w:rPr>
                <w:rStyle w:val="IndexLink"/>
              </w:rPr>
              <w:t>7. Dviejų komandos narių kodo peržiūra</w:t>
              <w:tab/>
              <w:t>18</w:t>
            </w:r>
          </w:hyperlink>
        </w:p>
        <w:p>
          <w:pPr>
            <w:pStyle w:val="TOC2"/>
            <w:tabs>
              <w:tab w:val="clear" w:pos="9355"/>
              <w:tab w:val="right" w:pos="9637" w:leader="dot"/>
            </w:tabs>
            <w:rPr/>
          </w:pPr>
          <w:hyperlink w:anchor="__RefHeading___Toc4380_3682259208" w:tooltip="7.1. Pirmasis fragmentas: LibraryService">
            <w:r>
              <w:rPr>
                <w:rStyle w:val="IndexLink"/>
              </w:rPr>
              <w:t>7.1. Pirmasis fragmentas: LibraryService</w:t>
              <w:tab/>
              <w:t>18</w:t>
            </w:r>
          </w:hyperlink>
        </w:p>
        <w:p>
          <w:pPr>
            <w:pStyle w:val="TOC2"/>
            <w:tabs>
              <w:tab w:val="clear" w:pos="9355"/>
              <w:tab w:val="right" w:pos="9637" w:leader="dot"/>
            </w:tabs>
            <w:rPr/>
          </w:pPr>
          <w:hyperlink w:anchor="__RefHeading___Toc4382_3682259208" w:tooltip="7.2. Antrasis fragmentas: EpubReaderComponent">
            <w:r>
              <w:rPr>
                <w:rStyle w:val="IndexLink"/>
              </w:rPr>
              <w:t>7.2. Antrasis fragmentas: EpubReaderComponent</w:t>
              <w:tab/>
              <w:t>19</w:t>
            </w:r>
          </w:hyperlink>
        </w:p>
        <w:p>
          <w:pPr>
            <w:pStyle w:val="TOC2"/>
            <w:tabs>
              <w:tab w:val="clear" w:pos="9355"/>
              <w:tab w:val="right" w:pos="9637" w:leader="dot"/>
            </w:tabs>
            <w:rPr/>
          </w:pPr>
          <w:hyperlink w:anchor="__RefHeading___Toc4384_3682259208" w:tooltip="7.3. Peržiūros rezultatų statusas">
            <w:r>
              <w:rPr>
                <w:rStyle w:val="IndexLink"/>
              </w:rPr>
              <w:t>7.3. Peržiūros rezultatų statusas</w:t>
              <w:tab/>
              <w:t>20</w:t>
            </w:r>
          </w:hyperlink>
        </w:p>
        <w:p>
          <w:pPr>
            <w:pStyle w:val="TOC1"/>
            <w:tabs>
              <w:tab w:val="clear" w:pos="9638"/>
              <w:tab w:val="right" w:pos="9637" w:leader="dot"/>
            </w:tabs>
            <w:rPr/>
          </w:pPr>
          <w:hyperlink w:anchor="__RefHeading___Toc4386_3682259208" w:tooltip="8. Bendrosios išvados">
            <w:r>
              <w:rPr>
                <w:rStyle w:val="IndexLink"/>
              </w:rPr>
              <w:t>8. Bendrosios išvados</w:t>
              <w:tab/>
              <w:t>21</w:t>
            </w:r>
          </w:hyperlink>
        </w:p>
        <w:p>
          <w:pPr>
            <w:pStyle w:val="TOC1"/>
            <w:tabs>
              <w:tab w:val="clear" w:pos="9638"/>
              <w:tab w:val="right" w:pos="9637" w:leader="dot"/>
            </w:tabs>
            <w:rPr/>
          </w:pPr>
          <w:hyperlink w:anchor="__RefHeading___Toc4388_3682259208" w:tooltip="9. AI naudojimas ir darbo atkuriamumas">
            <w:r>
              <w:rPr>
                <w:rStyle w:val="IndexLink"/>
              </w:rPr>
              <w:t>9. AI naudojimas ir darbo atkuriamumas</w:t>
              <w:tab/>
              <w:t>22</w:t>
            </w:r>
          </w:hyperlink>
        </w:p>
        <w:p>
          <w:pPr>
            <w:pStyle w:val="TOC2"/>
            <w:tabs>
              <w:tab w:val="clear" w:pos="9355"/>
              <w:tab w:val="right" w:pos="9637" w:leader="dot"/>
            </w:tabs>
            <w:rPr/>
          </w:pPr>
          <w:hyperlink w:anchor="__RefHeading___Toc4390_3682259208" w:tooltip="9.1. Atliktų ir siūlomų pakeitimų atskyrimas">
            <w:r>
              <w:rPr>
                <w:rStyle w:val="IndexLink"/>
              </w:rPr>
              <w:t>9.1. Atliktų ir siūlomų pakeitimų atskyrimas</w:t>
              <w:tab/>
              <w:t>22</w:t>
            </w:r>
          </w:hyperlink>
        </w:p>
        <w:p>
          <w:pPr>
            <w:pStyle w:val="TOC2"/>
            <w:tabs>
              <w:tab w:val="clear" w:pos="9355"/>
              <w:tab w:val="right" w:pos="9637" w:leader="dot"/>
            </w:tabs>
            <w:rPr/>
          </w:pPr>
          <w:hyperlink w:anchor="__RefHeading___Toc4392_3682259208" w:tooltip="9.2. Pateikimo kontrolinis sąrašas">
            <w:r>
              <w:rPr>
                <w:rStyle w:val="IndexLink"/>
              </w:rPr>
              <w:t>9.2. Pateikimo kontrolinis sąrašas</w:t>
              <w:tab/>
              <w:t>22</w:t>
            </w:r>
          </w:hyperlink>
        </w:p>
        <w:p>
          <w:pPr>
            <w:pStyle w:val="TOC1"/>
            <w:tabs>
              <w:tab w:val="clear" w:pos="9638"/>
              <w:tab w:val="right" w:pos="9637" w:leader="dot"/>
            </w:tabs>
            <w:rPr/>
          </w:pPr>
          <w:hyperlink w:anchor="__RefHeading___Toc4394_3682259208" w:tooltip="10. Literatūra ir šaltiniai">
            <w:r>
              <w:rPr>
                <w:rStyle w:val="IndexLink"/>
              </w:rPr>
              <w:t>10. Literatūra ir šaltiniai</w:t>
              <w:tab/>
              <w:t>23</w:t>
            </w:r>
          </w:hyperlink>
        </w:p>
        <w:p>
          <w:pPr>
            <w:pStyle w:val="TOC1"/>
            <w:tabs>
              <w:tab w:val="clear" w:pos="9638"/>
              <w:tab w:val="right" w:pos="9637" w:leader="dot"/>
            </w:tabs>
            <w:rPr/>
          </w:pPr>
          <w:hyperlink w:anchor="__RefHeading___Toc4396_3682259208" w:tooltip="A priedas. Atitiktis namų darbo užduočiai">
            <w:r>
              <w:rPr>
                <w:rStyle w:val="IndexLink"/>
              </w:rPr>
              <w:t>A priedas. Atitiktis namų darbo užduočiai</w:t>
              <w:tab/>
              <w:t>24</w:t>
            </w:r>
          </w:hyperlink>
        </w:p>
        <w:p>
          <w:pPr>
            <w:pStyle w:val="TOC1"/>
            <w:tabs>
              <w:tab w:val="clear" w:pos="9638"/>
              <w:tab w:val="right" w:pos="9637" w:leader="dot"/>
            </w:tabs>
            <w:rPr/>
          </w:pPr>
          <w:hyperlink w:anchor="__RefHeading___Toc4398_3682259208" w:tooltip="B priedas. Įforminimo šaltinio apimtis ir taikytas maketas">
            <w:r>
              <w:rPr>
                <w:rStyle w:val="IndexLink"/>
              </w:rPr>
              <w:t>B priedas. Įforminimo šaltinio apimtis ir taikytas maketas</w:t>
              <w:tab/>
              <w:t>25</w:t>
            </w:r>
          </w:hyperlink>
          <w:r>
            <w:rPr>
              <w:rStyle w:val="IndexLink"/>
            </w:rPr>
            <w:fldChar w:fldCharType="end"/>
          </w:r>
        </w:p>
      </w:sdtContent>
    </w:sdt>
    <w:p>
      <w:pPr>
        <w:pStyle w:val="Normal"/>
        <w:ind w:hanging="0"/>
        <w:rPr/>
      </w:pPr>
      <w:r>
        <w:rPr/>
      </w:r>
    </w:p>
    <w:p>
      <w:pPr>
        <w:pStyle w:val="Heading1"/>
        <w:rPr/>
      </w:pPr>
      <w:bookmarkStart w:id="0" w:name="__RefHeading___Toc4316_3682259208"/>
      <w:bookmarkEnd w:id="0"/>
      <w:r>
        <w:rPr/>
        <w:t>1. Įvadas ir tyrimo apimtis</w:t>
      </w:r>
    </w:p>
    <w:p>
      <w:pPr>
        <w:pStyle w:val="Heading2"/>
        <w:rPr/>
      </w:pPr>
      <w:bookmarkStart w:id="1" w:name="__RefHeading___Toc4318_3682259208"/>
      <w:bookmarkEnd w:id="1"/>
      <w:r>
        <w:rPr/>
        <w:t>1.1. Darbo tikslas ir užduotys</w:t>
      </w:r>
    </w:p>
    <w:p>
      <w:pPr>
        <w:pStyle w:val="Normal"/>
        <w:rPr/>
      </w:pPr>
      <w:r>
        <w:rPr/>
        <w:t>Darbo tikslas – įvertinti „Knygnešio“ programų sistemos kodo kokybę remiantis pakartojamais matavimais, statine analize, veikimo patikromis ir konkrečių kodo fragmentų peržiūra. Tyrimas apima ciklomatinį ir kognityvinį sudėtingumą, prižiūrimumo rodiklį, sistemos dalių sąryšį ir susietumą, statinių analizatorių radinius bei jų taisymo pasiūlymus. Metrikos vertinamos kaip pagalbiniai rodikliai, o ne vienas galutinis programos kokybės pažymys.</w:t>
      </w:r>
    </w:p>
    <w:p>
      <w:pPr>
        <w:pStyle w:val="Normal"/>
        <w:rPr/>
      </w:pPr>
      <w:r>
        <w:rPr/>
        <w:t>Užduoties esmė: „Programa turi būti veikianti“, „Pritaikyti bent du statinės kodo analizės įrankius“ ir „Kiekvienas komandos narys pasirenka skirtingą kodo fragmentą“. Todėl nepakanka pateikti tik skaičius ar įrankių ekrano nuotraukas. Šioje ataskaitoje rezultatai susiejami su išeities tekstais, išsaugotais įrankių išrašais ir konkrečiais patikrinimo veiksmais.</w:t>
      </w:r>
    </w:p>
    <w:p>
      <w:pPr>
        <w:pStyle w:val="Normal"/>
        <w:rPr/>
      </w:pPr>
      <w:r>
        <w:rPr/>
        <w:t>Darbą rengia dviejų studentų komanda. Pateikiami du skirtingi peržiūros fragmentai ir po keturis pagrįstus pasiūlymus kiekvienam fragmentui. Bendri sistemos tyrimo reikalavimai dėl komandos dydžio nemažinami. Studentų vardai, grupė ir tikrasis peržiūros autoriaus priskyrimas įrašomi prieš pateikiant darbą. Toliau pateikta AI padedama peržiūros medžiaga nėra teiginys, kad neįvardyti studentai jau savarankiškai atliko peržiūras.</w:t>
      </w:r>
    </w:p>
    <w:p>
      <w:pPr>
        <w:pStyle w:val="Heading2"/>
        <w:rPr/>
      </w:pPr>
      <w:bookmarkStart w:id="2" w:name="__RefHeading___Toc4320_3682259208"/>
      <w:bookmarkEnd w:id="2"/>
      <w:r>
        <w:rPr/>
        <w:t>1.2. Sistemos pasirinkimo pagrindimas</w:t>
      </w:r>
    </w:p>
    <w:p>
      <w:pPr>
        <w:pStyle w:val="Normal"/>
        <w:rPr/>
      </w:pPr>
      <w:r>
        <w:rPr/>
        <w:t>„</w:t>
      </w:r>
      <w:r>
        <w:rPr/>
        <w:t>Knygnešys“ skirtas knygų paieškai, asmeninės bibliotekos sudarymui, skaitymo pažangai ir statistikai. Sistema tinkama tyrimui, nes joje yra naudotojų autentifikavimas, duomenų bazės prieiga, failų saugojimas, išorinės „Open Library“ paslaugos naudojimas ir kliento sąsajos būsenų valdymas. Tai leidžia analizuoti ne tik valdymo šakų skaičių, bet ir atsakomybių pasiskirstymą, klaidų tvarkymą bei testuojamumą.</w:t>
      </w:r>
    </w:p>
    <w:p>
      <w:pPr>
        <w:pStyle w:val="Normal"/>
        <w:rPr/>
      </w:pPr>
      <w:r>
        <w:rPr/>
        <w:t xml:space="preserve">Vieša darbo repozitorija: https://github.com/KarolisGl/knygnesys-quality-homework.[9] Pradinė darbo aplinka buvo išeities tekstų archyvas be Git metaduomenų. Todėl naujos repozitorijos istorija yra šio namų darbo publikavimo istorija, o ne tariama ankstesnė sistemos kūrimo istorija. Pradinis publikavimo pakeitimas: a43fcadb762670230662ef9d1ed96824d6d35897. Nekeičiamų nukopijuotų failų SHA-256 reikšmės pateiktos </w:t>
      </w:r>
      <w:r>
        <w:rPr>
          <w:sz w:val="20"/>
        </w:rPr>
        <w:t>analysis/source-manifest.json</w:t>
      </w:r>
      <w:r>
        <w:rPr/>
        <w:t>.</w:t>
      </w:r>
    </w:p>
    <w:p>
      <w:pPr>
        <w:pStyle w:val="Heading2"/>
        <w:rPr/>
      </w:pPr>
      <w:bookmarkStart w:id="3" w:name="__RefHeading___Toc4322_3682259208"/>
      <w:bookmarkEnd w:id="3"/>
      <w:r>
        <w:rPr/>
        <w:t>1.3. Architektūra ir analizės ribos</w:t>
      </w:r>
    </w:p>
    <w:p>
      <w:pPr>
        <w:pStyle w:val="Normal"/>
        <w:rPr/>
      </w:pPr>
      <w:r>
        <w:rPr/>
        <w:t xml:space="preserve">Kliento dalis yra Angular programa su TypeScript komponentais, signalais ir RxJS. Serverio dalis naudoja Spring Boot, Java, Spring Data JPA ir PostgreSQL. Serverio katalogas – </w:t>
      </w:r>
      <w:r>
        <w:rPr>
          <w:sz w:val="20"/>
        </w:rPr>
        <w:t>knygnesys-app</w:t>
      </w:r>
      <w:r>
        <w:rPr/>
        <w:t xml:space="preserve">, kliento – </w:t>
      </w:r>
      <w:r>
        <w:rPr>
          <w:sz w:val="20"/>
        </w:rPr>
        <w:t>knygnesys-ui</w:t>
      </w:r>
      <w:r>
        <w:rPr/>
        <w:t xml:space="preserve">, duomenų bazės SQL migracijų – </w:t>
      </w:r>
      <w:r>
        <w:rPr>
          <w:sz w:val="20"/>
        </w:rPr>
        <w:t>db-migration</w:t>
      </w:r>
      <w:r>
        <w:rPr/>
        <w:t>. Serveris organizuojamas pagal funkcines sritis, o jose išskiriami valdikliai, paslaugos, DTO ir saugyklos.</w:t>
      </w:r>
    </w:p>
    <w:p>
      <w:pPr>
        <w:pStyle w:val="Normal"/>
        <w:rPr/>
      </w:pPr>
      <w:r>
        <w:rPr/>
        <w:t>Autentifikavimas grindžiamas HTTP sesija, o ne JWT. Bibliotekos serverio logika priklauso nuo naudotojo ir įrašo identifikatorių. Skaityklėje dalis EPUB duomenų saugoma naršyklės IndexedDB, skaitymo pozicija ir nustatymai – localStorage. Ši architektūra sukuria skirtingus testavimo lygius: paslaugų vienetinius testus, kliento testus ir realių HTTP užklausų patikrą.</w:t>
      </w:r>
    </w:p>
    <w:p>
      <w:pPr>
        <w:pStyle w:val="Normal"/>
        <w:rPr/>
      </w:pPr>
      <w:r>
        <w:rPr/>
        <w:t xml:space="preserve">Viešai kopijai nekopijuoti pradiniai konfigūracijos failai su prisijungimo duomenimis, administratoriaus pradiniai duomenys ir lokalūs pagalbinių įrankių nustatymai. Sukurta atskira vietinė demonstracinė konfigūracija. Java ir TypeScript programos logikos refaktoringas šiame darbe neatliktas. Duomenų bazės schema demonstracijoje sukurta vykdant SQL per </w:t>
      </w:r>
      <w:r>
        <w:rPr>
          <w:sz w:val="20"/>
        </w:rPr>
        <w:t>psql</w:t>
      </w:r>
      <w:r>
        <w:rPr/>
        <w:t>, o ne Flyway; Flyway istorijos sukūrimas neteigiamas. Šie skirtumai atskiriami nuo analizuojamo kodo kokybės.</w:t>
      </w:r>
    </w:p>
    <w:p>
      <w:pPr>
        <w:pStyle w:val="Heading2"/>
        <w:rPr/>
      </w:pPr>
      <w:bookmarkStart w:id="4" w:name="__RefHeading___Toc4324_3682259208"/>
      <w:bookmarkEnd w:id="4"/>
      <w:r>
        <w:rPr/>
        <w:t>1.4. Patikimumo taisyklės</w:t>
      </w:r>
    </w:p>
    <w:p>
      <w:pPr>
        <w:pStyle w:val="Normal"/>
        <w:rPr/>
      </w:pPr>
      <w:r>
        <w:rPr/>
        <w:t>Skiriamos trys teiginių rūšys: įrankio išmatuota reikšmė, faktiškai paleisto testo ar užklausos rezultatas ir rankinės peržiūros išvada. Įrankio įspėjimas pats savaime nepatvirtina, kad programa jau sukėlė gedimą; būtina įvertinti kontekstą. Siūlomas pataisymas nelaikomas įgyvendintu, jeigu nėra pakeisto kodo ir jo patikros. Išvados apie nepatikrintus scenarijus pažymimos kaip ribotumai.</w:t>
      </w:r>
    </w:p>
    <w:p>
      <w:pPr>
        <w:pStyle w:val="Heading1"/>
        <w:rPr/>
      </w:pPr>
      <w:bookmarkStart w:id="5" w:name="__RefHeading___Toc4326_3682259208"/>
      <w:bookmarkEnd w:id="5"/>
      <w:r>
        <w:rPr/>
        <w:t>2. Tyrimo metodika ir įrankiai</w:t>
      </w:r>
    </w:p>
    <w:p>
      <w:pPr>
        <w:pStyle w:val="Heading2"/>
        <w:rPr/>
      </w:pPr>
      <w:bookmarkStart w:id="6" w:name="__RefHeading___Toc4328_3682259208"/>
      <w:bookmarkEnd w:id="6"/>
      <w:r>
        <w:rPr/>
        <w:t>2.1. Sudėtingumo samprata</w:t>
      </w:r>
    </w:p>
    <w:p>
      <w:pPr>
        <w:pStyle w:val="Normal"/>
        <w:rPr/>
      </w:pPr>
      <w:r>
        <w:rPr/>
        <w:t xml:space="preserve">Ciklomatinis sudėtingumas siejamas su tiesiškai nepriklausomais valdymo srauto keliais. Įrankio kalbinė metodika gali skaičiuoti trumpąjį loginių operatorių jungimą, numatytąsias parametrų reikšmes ir pasirenkamąją prieigą. Pavyzdžiui, ESLint taisyklė </w:t>
      </w:r>
      <w:r>
        <w:rPr>
          <w:sz w:val="20"/>
        </w:rPr>
        <w:t>complexity</w:t>
      </w:r>
      <w:r>
        <w:rPr/>
        <w:t xml:space="preserve"> skaičiuoja ir kai kurias optional chaining sukuriamas šakas.[3] Todėl skirtingų įrankių reikšmės negali būti laikomos tapačiomis nepatikrinus jų metodikos.</w:t>
      </w:r>
    </w:p>
    <w:p>
      <w:pPr>
        <w:pStyle w:val="Normal"/>
        <w:rPr/>
      </w:pPr>
      <w:r>
        <w:rPr/>
        <w:t>Kognityvinis sudėtingumas skirtas kodo suprantamumui vertinti. SonarSource metodikoje didinamas rodiklis už nuoseklaus vykdymo pertraukimus, papildomai vertinamas šakų įdėjimo gylis ir atsižvelgiama į trumpesnes, aiškiai perskaitomas konstrukcijas.[1] Metodo deklaracija nesuteikia bazinio kognityvinio balo. Todėl tiesinis metodas gali turėti teigiamą ciklomatinį ir nulinį kognityvinį sudėtingumą.</w:t>
      </w:r>
    </w:p>
    <w:p>
      <w:pPr>
        <w:pStyle w:val="Normal"/>
        <w:rPr/>
      </w:pPr>
      <w:r>
        <w:rPr/>
        <w:t>Nei vienas rodiklis tiesiogiai nematuoja vykdymo greičio, saugumo ar korektiškumo. Išskaidžius metodą į daugiau pagalbinių metodų sumažėjęs vieno metodo rodiklis dar neįrodo, kad sumažėjo visos sistemos sudėtingumas. Rezultatas vertinamas kartu su atsakomybėmis ir testais.</w:t>
      </w:r>
    </w:p>
    <w:p>
      <w:pPr>
        <w:pStyle w:val="Heading2"/>
        <w:rPr/>
      </w:pPr>
      <w:bookmarkStart w:id="7" w:name="__RefHeading___Toc4330_3682259208"/>
      <w:bookmarkEnd w:id="7"/>
      <w:r>
        <w:rPr/>
        <w:t>2.2. Prižiūrimumo rodiklio samprata</w:t>
      </w:r>
    </w:p>
    <w:p>
      <w:pPr>
        <w:pStyle w:val="Normal"/>
        <w:rPr/>
      </w:pPr>
      <w:r>
        <w:rPr/>
        <w:t>Prižiūrimumo indeksas priklauso nuo Halsteado apimties, ciklomatinio sudėtingumo ir kodo dydžio. Microsoft dokumentacijoje pateikta normalizuota formulė:[4]</w:t>
      </w:r>
    </w:p>
    <w:p>
      <w:pPr>
        <w:pStyle w:val="Normal"/>
        <w:rPr/>
      </w:pPr>
      <w:r>
        <w:rPr/>
        <w:t>MI = max(0; (171 − 5,2 × ln(V) − 0,23 × G − 16,2 × ln(L)) × 100 / 171).</w:t>
      </w:r>
    </w:p>
    <w:p>
      <w:pPr>
        <w:pStyle w:val="Normal"/>
        <w:rPr/>
      </w:pPr>
      <w:r>
        <w:rPr/>
        <w:t>V reiškia Halsteado apimtį, G – pasirinktą ciklomatinio sudėtingumo agregatą, L – išmatuotą kodo eilučių skaičių. Naudojamas natūralusis logaritmas. Įrankiai gali naudoti kitokį komentarų įvertinimą, skirtingas eilučių sąvokas ir vidurkinimą. Todėl šiame darbe prie konkretaus rezultato nurodoma faktinė formulė ir įvesties apimtis, o ne tik indekso pavadinimas.</w:t>
      </w:r>
    </w:p>
    <w:p>
      <w:pPr>
        <w:pStyle w:val="Normal"/>
        <w:rPr/>
      </w:pPr>
      <w:r>
        <w:rPr/>
        <w:t>Microsoft indeksą interpretuoja skalėje nuo 0 iki 100: 0–9 reiškia mažą, 10–19 – vidutinį, 20–100 – gerą prižiūrimumą pagal šį modelį.[2][4] Šios ribos nėra universalus Java ar TypeScript programos saugumo įvertinimas. Rodiklis, apskaičiuotas pagal JavaScript atvaizdą, nevadinamas visos mišrios sistemos indeksu arba Visual Studio faktiškai išmatuotu rezultatu.</w:t>
      </w:r>
    </w:p>
    <w:p>
      <w:pPr>
        <w:pStyle w:val="Heading2"/>
        <w:rPr/>
      </w:pPr>
      <w:bookmarkStart w:id="8" w:name="__RefHeading___Toc4332_3682259208"/>
      <w:bookmarkEnd w:id="8"/>
      <w:r>
        <w:rPr/>
        <w:t>2.3. Statinės analizės ir peržiūros derinimas</w:t>
      </w:r>
    </w:p>
    <w:p>
      <w:pPr>
        <w:pStyle w:val="Normal"/>
        <w:rPr/>
      </w:pPr>
      <w:r>
        <w:rPr/>
        <w:t>SonarQube analizuoja serverio ir kliento kodą, Java analizei gaudamas ir kompiliuotą baitinį kodą.[5][6] Atskirai vykdyti projekto ESLint ir TypeScript statinė tipų patikra papildo bendrą analizę.[3][8] Analizatoriai nebūtinai aptinka tas pačias problemas, o dalis verslo taisyklių pažeidimų nustatoma tik peržiūrint kodą ar vykdant testus.</w:t>
      </w:r>
    </w:p>
    <w:p>
      <w:pPr>
        <w:pStyle w:val="Normal"/>
        <w:rPr/>
      </w:pPr>
      <w:r>
        <w:rPr/>
        <w:t>Peržiūros metu tikrinamas ne vien stilius, bet ir funkcionalumas, atsakomybės, sudėtingumas, testai bei kodo kontekstas. Google peržiūros gairės pabrėžia konstrukcijos tinkamumą, pagrįstą paprastumą ir testų kokybę.[7] Šio darbo taisymo pasiūlymai grindžiami konkrečia vieta kode, galima pasekme ir patikros būdu.</w:t>
      </w:r>
    </w:p>
    <w:p>
      <w:pPr>
        <w:pStyle w:val="Heading1"/>
        <w:rPr/>
      </w:pPr>
      <w:bookmarkStart w:id="9" w:name="__RefHeading___Toc4334_3682259208"/>
      <w:bookmarkEnd w:id="9"/>
      <w:r>
        <w:rPr/>
        <w:t>3. Faktiškai atliktos patikros ir įrankių versijos</w:t>
      </w:r>
    </w:p>
    <w:p>
      <w:pPr>
        <w:pStyle w:val="Heading2"/>
        <w:rPr/>
      </w:pPr>
      <w:bookmarkStart w:id="10" w:name="__RefHeading___Toc4336_3682259208"/>
      <w:bookmarkEnd w:id="10"/>
      <w:r>
        <w:rPr/>
        <w:t>3.1. Naudoti įrankiai ir pasirinkimas</w:t>
      </w:r>
    </w:p>
    <w:tbl>
      <w:tblPr>
        <w:tblStyle w:val="TableGrid"/>
        <w:tblW w:w="9639"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213"/>
        <w:gridCol w:w="3213"/>
        <w:gridCol w:w="3213"/>
      </w:tblGrid>
      <w:tr>
        <w:trPr>
          <w:tblHeader w:val="true"/>
          <w:cantSplit/>
        </w:trPr>
        <w:tc>
          <w:tcPr>
            <w:tcW w:w="3213" w:type="dxa"/>
            <w:tcBorders/>
          </w:tcPr>
          <w:p>
            <w:pPr>
              <w:pStyle w:val="Normal"/>
              <w:widowControl/>
              <w:spacing w:lineRule="auto" w:line="240" w:before="0" w:after="60"/>
              <w:ind w:hanging="0"/>
              <w:jc w:val="start"/>
              <w:rPr>
                <w:kern w:val="0"/>
                <w:szCs w:val="22"/>
                <w:lang w:val="en-US" w:eastAsia="en-US" w:bidi="ar-SA"/>
              </w:rPr>
            </w:pPr>
            <w:r>
              <w:rPr>
                <w:b/>
                <w:kern w:val="0"/>
                <w:sz w:val="20"/>
                <w:szCs w:val="22"/>
                <w:lang w:val="en-US" w:eastAsia="en-US" w:bidi="ar-SA"/>
              </w:rPr>
              <w:t>Įrankis</w:t>
            </w:r>
          </w:p>
        </w:tc>
        <w:tc>
          <w:tcPr>
            <w:tcW w:w="3213" w:type="dxa"/>
            <w:tcBorders/>
          </w:tcPr>
          <w:p>
            <w:pPr>
              <w:pStyle w:val="Normal"/>
              <w:widowControl/>
              <w:spacing w:lineRule="auto" w:line="240" w:before="0" w:after="60"/>
              <w:ind w:hanging="0"/>
              <w:jc w:val="start"/>
              <w:rPr>
                <w:kern w:val="0"/>
                <w:szCs w:val="22"/>
                <w:lang w:val="en-US" w:eastAsia="en-US" w:bidi="ar-SA"/>
              </w:rPr>
            </w:pPr>
            <w:r>
              <w:rPr>
                <w:b/>
                <w:kern w:val="0"/>
                <w:sz w:val="20"/>
                <w:szCs w:val="22"/>
                <w:lang w:val="en-US" w:eastAsia="en-US" w:bidi="ar-SA"/>
              </w:rPr>
              <w:t>Faktinė versija</w:t>
            </w:r>
          </w:p>
        </w:tc>
        <w:tc>
          <w:tcPr>
            <w:tcW w:w="3213" w:type="dxa"/>
            <w:tcBorders/>
          </w:tcPr>
          <w:p>
            <w:pPr>
              <w:pStyle w:val="Normal"/>
              <w:widowControl/>
              <w:spacing w:lineRule="auto" w:line="240" w:before="0" w:after="60"/>
              <w:ind w:hanging="0"/>
              <w:jc w:val="start"/>
              <w:rPr>
                <w:kern w:val="0"/>
                <w:szCs w:val="22"/>
                <w:lang w:val="en-US" w:eastAsia="en-US" w:bidi="ar-SA"/>
              </w:rPr>
            </w:pPr>
            <w:r>
              <w:rPr>
                <w:b/>
                <w:kern w:val="0"/>
                <w:sz w:val="20"/>
                <w:szCs w:val="22"/>
                <w:lang w:val="en-US" w:eastAsia="en-US" w:bidi="ar-SA"/>
              </w:rPr>
              <w:t>Paskirtis ir ribos</w:t>
            </w:r>
          </w:p>
        </w:tc>
      </w:tr>
      <w:tr>
        <w:trPr>
          <w:cantSplit/>
        </w:trPr>
        <w:tc>
          <w:tcPr>
            <w:tcW w:w="3213"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SonarQube Community Build</w:t>
            </w:r>
          </w:p>
        </w:tc>
        <w:tc>
          <w:tcPr>
            <w:tcW w:w="3213"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26.9.0.129388</w:t>
            </w:r>
          </w:p>
        </w:tc>
        <w:tc>
          <w:tcPr>
            <w:tcW w:w="3213"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Vietinis serveris; Java, TypeScript, HTML ir CSS analizė; MQR prižiūrimumo įvertis; ne visas komercinių leidimų saugumo funkcionalumas</w:t>
            </w:r>
          </w:p>
        </w:tc>
      </w:tr>
      <w:tr>
        <w:trPr>
          <w:cantSplit/>
        </w:trPr>
        <w:tc>
          <w:tcPr>
            <w:tcW w:w="3213"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SonarScanner CLI</w:t>
            </w:r>
          </w:p>
        </w:tc>
        <w:tc>
          <w:tcPr>
            <w:tcW w:w="3213"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8.1.0.6389</w:t>
            </w:r>
          </w:p>
        </w:tc>
        <w:tc>
          <w:tcPr>
            <w:tcW w:w="3213"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Nuskaito mišrią sistemą; Java analizei perduotas sukompiliuotas kodas ir priklausomybės</w:t>
            </w:r>
          </w:p>
        </w:tc>
      </w:tr>
      <w:tr>
        <w:trPr>
          <w:cantSplit/>
        </w:trPr>
        <w:tc>
          <w:tcPr>
            <w:tcW w:w="3213"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ESLint / SonarJS</w:t>
            </w:r>
          </w:p>
        </w:tc>
        <w:tc>
          <w:tcPr>
            <w:tcW w:w="3213"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10.1.0 / 4.2.2</w:t>
            </w:r>
          </w:p>
        </w:tc>
        <w:tc>
          <w:tcPr>
            <w:tcW w:w="3213"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Atskiros TS metodų ciklomatinės ir kognityvinės reikšmės; nulinis diagnostinis slenkstis nėra kokybės vartai</w:t>
            </w:r>
          </w:p>
        </w:tc>
      </w:tr>
      <w:tr>
        <w:trPr>
          <w:cantSplit/>
        </w:trPr>
        <w:tc>
          <w:tcPr>
            <w:tcW w:w="3213"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TypeScript</w:t>
            </w:r>
          </w:p>
        </w:tc>
        <w:tc>
          <w:tcPr>
            <w:tcW w:w="3213"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5.9.2 analizės priemonėse</w:t>
            </w:r>
          </w:p>
        </w:tc>
        <w:tc>
          <w:tcPr>
            <w:tcW w:w="3213"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AST struktūra ir transpiliacija; projekto tipų patikra vykdyta jo užrakintomis priklausomybėmis</w:t>
            </w:r>
          </w:p>
        </w:tc>
      </w:tr>
      <w:tr>
        <w:trPr>
          <w:cantSplit/>
        </w:trPr>
        <w:tc>
          <w:tcPr>
            <w:tcW w:w="3213"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typhonjs-escomplex</w:t>
            </w:r>
          </w:p>
        </w:tc>
        <w:tc>
          <w:tcPr>
            <w:tcW w:w="3213"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0.1.0</w:t>
            </w:r>
          </w:p>
        </w:tc>
        <w:tc>
          <w:tcPr>
            <w:tcW w:w="3213"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JavaScript atvaizdo Halsteado duomenys ir papildomas MI; ne originalaus TS ar visos sistemos indeksas</w:t>
            </w:r>
          </w:p>
        </w:tc>
      </w:tr>
      <w:tr>
        <w:trPr>
          <w:cantSplit/>
        </w:trPr>
        <w:tc>
          <w:tcPr>
            <w:tcW w:w="3213"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tree-sitter / Java gramatika</w:t>
            </w:r>
          </w:p>
        </w:tc>
        <w:tc>
          <w:tcPr>
            <w:tcW w:w="3213"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0.25.2 / 0.23.5</w:t>
            </w:r>
          </w:p>
        </w:tc>
        <w:tc>
          <w:tcPr>
            <w:tcW w:w="3213"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Java AST ir aiškiai apibrėžti sprendimų taškų bei struktūros skaitikliai; ne SonarJava pakaitalas</w:t>
            </w:r>
          </w:p>
        </w:tc>
      </w:tr>
      <w:tr>
        <w:trPr>
          <w:cantSplit/>
        </w:trPr>
        <w:tc>
          <w:tcPr>
            <w:tcW w:w="3213"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Java / Node.js / npm</w:t>
            </w:r>
          </w:p>
        </w:tc>
        <w:tc>
          <w:tcPr>
            <w:tcW w:w="3213"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21.0.12.1 / 22.23.1 / 10.9.8</w:t>
            </w:r>
          </w:p>
        </w:tc>
        <w:tc>
          <w:tcPr>
            <w:tcW w:w="3213"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Faktinė vietinė kompiliavimo ir vykdymo aplinka</w:t>
            </w:r>
          </w:p>
        </w:tc>
      </w:tr>
    </w:tbl>
    <w:p>
      <w:pPr>
        <w:pStyle w:val="Normal"/>
        <w:spacing w:before="0" w:after="60"/>
        <w:rPr/>
      </w:pPr>
      <w:r>
        <w:rPr/>
      </w:r>
    </w:p>
    <w:p>
      <w:pPr>
        <w:pStyle w:val="Normal"/>
        <w:rPr/>
      </w:pPr>
      <w:r>
        <w:rPr/>
        <w:t>SonarQube pasirinktas kaip pagrindinis bendros sistemos analizatorius, nes leidžia vienoje vietoje peržiūrėti skirtingų kalbų radinius ir faktiškai apskaičiuotą prižiūrimumo įvertį. Papildomas ESLint paleidimas reikalingas įprastoms projekto taisyklėms bei mažo sudėtingumo TS metodų matavimams; tai nėra tariamas SonarQube serverio paleidimas. Abiejų priemonių rezultatai išsaugoti atskirai. Specializuotą analizatorių papildo kompiliatoriaus patikros ir vienetiniai testai.</w:t>
      </w:r>
    </w:p>
    <w:p>
      <w:pPr>
        <w:pStyle w:val="Heading2"/>
        <w:rPr/>
      </w:pPr>
      <w:bookmarkStart w:id="11" w:name="__RefHeading___Toc4338_3682259208"/>
      <w:bookmarkEnd w:id="11"/>
      <w:r>
        <w:rPr/>
        <w:t>3.2. Kompiliavimas, testai ir lint rezultatai</w:t>
      </w:r>
    </w:p>
    <w:tbl>
      <w:tblPr>
        <w:tblStyle w:val="TableGrid"/>
        <w:tblW w:w="9639"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213"/>
        <w:gridCol w:w="3213"/>
        <w:gridCol w:w="3213"/>
      </w:tblGrid>
      <w:tr>
        <w:trPr>
          <w:tblHeader w:val="true"/>
          <w:cantSplit/>
        </w:trPr>
        <w:tc>
          <w:tcPr>
            <w:tcW w:w="3213" w:type="dxa"/>
            <w:tcBorders/>
          </w:tcPr>
          <w:p>
            <w:pPr>
              <w:pStyle w:val="Normal"/>
              <w:widowControl/>
              <w:spacing w:lineRule="auto" w:line="240" w:before="0" w:after="60"/>
              <w:ind w:hanging="0"/>
              <w:jc w:val="start"/>
              <w:rPr>
                <w:kern w:val="0"/>
                <w:szCs w:val="22"/>
                <w:lang w:val="en-US" w:eastAsia="en-US" w:bidi="ar-SA"/>
              </w:rPr>
            </w:pPr>
            <w:r>
              <w:rPr>
                <w:b/>
                <w:kern w:val="0"/>
                <w:sz w:val="20"/>
                <w:szCs w:val="22"/>
                <w:lang w:val="en-US" w:eastAsia="en-US" w:bidi="ar-SA"/>
              </w:rPr>
              <w:t>Patikra</w:t>
            </w:r>
          </w:p>
        </w:tc>
        <w:tc>
          <w:tcPr>
            <w:tcW w:w="3213" w:type="dxa"/>
            <w:tcBorders/>
          </w:tcPr>
          <w:p>
            <w:pPr>
              <w:pStyle w:val="Normal"/>
              <w:widowControl/>
              <w:spacing w:lineRule="auto" w:line="240" w:before="0" w:after="60"/>
              <w:ind w:hanging="0"/>
              <w:jc w:val="start"/>
              <w:rPr>
                <w:kern w:val="0"/>
                <w:szCs w:val="22"/>
                <w:lang w:val="en-US" w:eastAsia="en-US" w:bidi="ar-SA"/>
              </w:rPr>
            </w:pPr>
            <w:r>
              <w:rPr>
                <w:b/>
                <w:kern w:val="0"/>
                <w:sz w:val="20"/>
                <w:szCs w:val="22"/>
                <w:lang w:val="en-US" w:eastAsia="en-US" w:bidi="ar-SA"/>
              </w:rPr>
              <w:t>Rezultatas</w:t>
            </w:r>
          </w:p>
        </w:tc>
        <w:tc>
          <w:tcPr>
            <w:tcW w:w="3213" w:type="dxa"/>
            <w:tcBorders/>
          </w:tcPr>
          <w:p>
            <w:pPr>
              <w:pStyle w:val="Normal"/>
              <w:widowControl/>
              <w:spacing w:lineRule="auto" w:line="240" w:before="0" w:after="60"/>
              <w:ind w:hanging="0"/>
              <w:jc w:val="start"/>
              <w:rPr>
                <w:kern w:val="0"/>
                <w:szCs w:val="22"/>
                <w:lang w:val="en-US" w:eastAsia="en-US" w:bidi="ar-SA"/>
              </w:rPr>
            </w:pPr>
            <w:r>
              <w:rPr>
                <w:b/>
                <w:kern w:val="0"/>
                <w:sz w:val="20"/>
                <w:szCs w:val="22"/>
                <w:lang w:val="en-US" w:eastAsia="en-US" w:bidi="ar-SA"/>
              </w:rPr>
              <w:t>Interpretacija</w:t>
            </w:r>
          </w:p>
        </w:tc>
      </w:tr>
      <w:tr>
        <w:trPr>
          <w:cantSplit/>
        </w:trPr>
        <w:tc>
          <w:tcPr>
            <w:tcW w:w="3213"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Serverio bash mvnw test</w:t>
            </w:r>
          </w:p>
        </w:tc>
        <w:tc>
          <w:tcPr>
            <w:tcW w:w="3213"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28 testai; 0 nesėkmių; 0 klaidų</w:t>
            </w:r>
          </w:p>
        </w:tc>
        <w:tc>
          <w:tcPr>
            <w:tcW w:w="3213"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AuthService 6, StatsService 15, UserService 7; ne visų serverio funkcijų įrodymas</w:t>
            </w:r>
          </w:p>
        </w:tc>
      </w:tr>
      <w:tr>
        <w:trPr>
          <w:cantSplit/>
        </w:trPr>
        <w:tc>
          <w:tcPr>
            <w:tcW w:w="3213"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Serverio pakavimas</w:t>
            </w:r>
          </w:p>
        </w:tc>
        <w:tc>
          <w:tcPr>
            <w:tcW w:w="3213"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BUILD SUCCESS</w:t>
            </w:r>
          </w:p>
        </w:tc>
        <w:tc>
          <w:tcPr>
            <w:tcW w:w="3213"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Sukurtas paleidžiamas Spring Boot JAR</w:t>
            </w:r>
          </w:p>
        </w:tc>
      </w:tr>
      <w:tr>
        <w:trPr>
          <w:cantSplit/>
        </w:trPr>
        <w:tc>
          <w:tcPr>
            <w:tcW w:w="3213"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Kliento npm run build</w:t>
            </w:r>
          </w:p>
        </w:tc>
        <w:tc>
          <w:tcPr>
            <w:tcW w:w="3213"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exit 0</w:t>
            </w:r>
          </w:p>
        </w:tc>
        <w:tc>
          <w:tcPr>
            <w:tcW w:w="3213"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Yra dydžio biudžetų ir CommonJS perspėjimų; pradinis paketas 1,17 MB</w:t>
            </w:r>
          </w:p>
        </w:tc>
      </w:tr>
      <w:tr>
        <w:trPr>
          <w:cantSplit/>
        </w:trPr>
        <w:tc>
          <w:tcPr>
            <w:tcW w:w="3213"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Kliento Vitest</w:t>
            </w:r>
          </w:p>
        </w:tc>
        <w:tc>
          <w:tcPr>
            <w:tcW w:w="3213"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17 testų; 4 testų failai; visi išlaikyti</w:t>
            </w:r>
          </w:p>
        </w:tc>
        <w:tc>
          <w:tcPr>
            <w:tcW w:w="3213"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Tikrinami statistikos ir diagramų komponentai; ne visa EPUB skaityklė</w:t>
            </w:r>
          </w:p>
        </w:tc>
      </w:tr>
      <w:tr>
        <w:trPr>
          <w:cantSplit/>
        </w:trPr>
        <w:tc>
          <w:tcPr>
            <w:tcW w:w="3213"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Kliento npm run lint</w:t>
            </w:r>
          </w:p>
        </w:tc>
        <w:tc>
          <w:tcPr>
            <w:tcW w:w="3213"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exit 1; 29 klaidos ir 10 perspėjimų</w:t>
            </w:r>
          </w:p>
        </w:tc>
        <w:tc>
          <w:tcPr>
            <w:tcW w:w="3213"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Analizė įvyko, tačiau kodo bazė neatitinka dalies nustatytų taisyklių</w:t>
            </w:r>
          </w:p>
        </w:tc>
      </w:tr>
      <w:tr>
        <w:trPr>
          <w:cantSplit/>
        </w:trPr>
        <w:tc>
          <w:tcPr>
            <w:tcW w:w="3213"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TypeScript app ir spec</w:t>
            </w:r>
          </w:p>
        </w:tc>
        <w:tc>
          <w:tcPr>
            <w:tcW w:w="3213"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exit 0 abiem</w:t>
            </w:r>
          </w:p>
        </w:tc>
        <w:tc>
          <w:tcPr>
            <w:tcW w:w="3213"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Tipų patikra nerado klaidų; tai nereiškia, kad nėra vykdymo ar saugumo klaidų</w:t>
            </w:r>
          </w:p>
        </w:tc>
      </w:tr>
      <w:tr>
        <w:trPr>
          <w:cantSplit/>
        </w:trPr>
        <w:tc>
          <w:tcPr>
            <w:tcW w:w="3213"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SonarScanner ir serverio užduotis</w:t>
            </w:r>
          </w:p>
        </w:tc>
        <w:tc>
          <w:tcPr>
            <w:tcW w:w="3213"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exit 0; SUCCESS</w:t>
            </w:r>
          </w:p>
        </w:tc>
        <w:tc>
          <w:tcPr>
            <w:tcW w:w="3213"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Serveris užbaigė atsiųstos analizės apdorojimą; ne vien priėmė failą</w:t>
            </w:r>
          </w:p>
        </w:tc>
      </w:tr>
    </w:tbl>
    <w:p>
      <w:pPr>
        <w:pStyle w:val="Normal"/>
        <w:spacing w:before="0" w:after="60"/>
        <w:rPr/>
      </w:pPr>
      <w:r>
        <w:rPr/>
      </w:r>
    </w:p>
    <w:p>
      <w:pPr>
        <w:pStyle w:val="Normal"/>
        <w:rPr/>
      </w:pPr>
      <w:r>
        <w:rPr/>
        <w:t>Pradinio kliento paketo perspėjimas viršija 1,00 MB ribą 173,46 kB. Bibliotekos ir EPUB SCSS failai viršija perspėjimo biudžetus; šie perspėjimai nepavertė įrašyto produkcinio build nepavykusiu. Radiniai nėra paslėpti pakeitus taisykles. Originalus lint ir diagnostinė sudėtingumo konfigūracija nėra sujungiami į vieną tariamą klaidų sąrašą.</w:t>
      </w:r>
    </w:p>
    <w:p>
      <w:pPr>
        <w:pStyle w:val="Heading2"/>
        <w:rPr/>
      </w:pPr>
      <w:bookmarkStart w:id="12" w:name="__RefHeading___Toc4340_3682259208"/>
      <w:bookmarkEnd w:id="12"/>
      <w:r>
        <w:rPr/>
        <w:t>3.3. Realaus vykdymo patikra</w:t>
      </w:r>
    </w:p>
    <w:p>
      <w:pPr>
        <w:pStyle w:val="Normal"/>
        <w:rPr/>
      </w:pPr>
      <w:r>
        <w:rPr/>
        <w:t xml:space="preserve">Naudotas atskiras PostgreSQL konteineris, schema sukurta iš paskelbtų SQL failų. Paleista serverio programa ir atliktos realios HTTP užklausos. OpenAPI gautas su HTTP 200; jame buvo 15 kelių. Prieš prisijungimą sesijos ir bibliotekos užklausos grąžino 401. Registracija grąžino 201, prisijungimas – 200, po jo naudotojo ir bibliotekos gavimas – 200. Knygos pridėjimas grąžino 201, pažangos atnaujinimas – 200, šalinimas – 204. Atsijungimas grąžino 204, o po jo apsaugotos užklausos vėl grąžino 401. Patikros scenarijus baigėsi </w:t>
      </w:r>
      <w:r>
        <w:rPr>
          <w:sz w:val="20"/>
        </w:rPr>
        <w:t>RESULT PASS</w:t>
      </w:r>
      <w:r>
        <w:rPr/>
        <w:t>.</w:t>
      </w:r>
    </w:p>
    <w:p>
      <w:pPr>
        <w:pStyle w:val="Normal"/>
        <w:rPr/>
      </w:pPr>
      <w:r>
        <w:rPr/>
        <w:t xml:space="preserve">Tai įrodo būtent šį autentifikavimo ir bibliotekos kelią, o ne visos grafinės sąsajos, elektroninio pašto, visų išorinių API ar EPUB bylų patikimumą. HTTP patikros išrašas: </w:t>
      </w:r>
      <w:r>
        <w:rPr>
          <w:sz w:val="20"/>
        </w:rPr>
        <w:t>analysis/evidence/runtime/runtime-smoke.log</w:t>
      </w:r>
      <w:r>
        <w:rPr/>
        <w:t>. Vienetinių testų ir analizės išrašai pateikti gretimuose kataloguose.</w:t>
      </w:r>
    </w:p>
    <w:p>
      <w:pPr>
        <w:pStyle w:val="Normal"/>
        <w:rPr/>
      </w:pPr>
      <w:r>
        <w:rPr/>
        <w:t xml:space="preserve">SonarQube veikia adresu http://localhost:19000/dashboard?id=knygnesys-homework. Serverio prievadas susietas tik su loopback. Įdėtoji H2 duomenų bazė pasirinkta tik šiai vertinimo demonstracijai, ne produkcijai. Serveris parodytas tikroje naršyklėje; neautentifikuota ataskaitos peržiūra veikė, JavaScript vykdymo klaidų neužfiksuota. Ekrano vaizdas ir API išrašai saugomi </w:t>
      </w:r>
      <w:r>
        <w:rPr>
          <w:sz w:val="20"/>
        </w:rPr>
        <w:t>analysis/sonarqube</w:t>
      </w:r>
      <w:r>
        <w:rPr/>
        <w:t>.</w:t>
      </w:r>
    </w:p>
    <w:p>
      <w:pPr>
        <w:pStyle w:val="Heading1"/>
        <w:rPr/>
      </w:pPr>
      <w:bookmarkStart w:id="13" w:name="__RefHeading___Toc4342_3682259208"/>
      <w:bookmarkEnd w:id="13"/>
      <w:r>
        <w:rPr/>
        <w:t>4. Sudėtingumo metrikos ir testuojamumas</w:t>
      </w:r>
    </w:p>
    <w:p>
      <w:pPr>
        <w:pStyle w:val="Heading2"/>
        <w:rPr/>
      </w:pPr>
      <w:bookmarkStart w:id="14" w:name="__RefHeading___Toc4344_3682259208"/>
      <w:bookmarkEnd w:id="14"/>
      <w:r>
        <w:rPr/>
        <w:t>4.1. Penki atrinkti metodai</w:t>
      </w:r>
    </w:p>
    <w:p>
      <w:pPr>
        <w:pStyle w:val="Normal"/>
        <w:rPr/>
      </w:pPr>
      <w:r>
        <w:rPr/>
        <w:t xml:space="preserve">Atrinkti trys serverio statistikos metodai ir du kliento būsenos / asinchroninio įkėlimo metodai. Jie apima skirtingas atsakomybes ir ne vien tiesines prieigos funkcijas. Java CC apskaičiuotas pagal publikuotą AST sprendimų taškų politiką; Java kognityvinis balas paimtas tiesiai iš tikrų SonarQube </w:t>
      </w:r>
      <w:r>
        <w:rPr>
          <w:sz w:val="20"/>
        </w:rPr>
        <w:t>java:S3776</w:t>
      </w:r>
      <w:r>
        <w:rPr/>
        <w:t xml:space="preserve"> radinių. TS reikšmės paimtos iš ESLint ir SonarJS išrašo. Skirtingų kalbų įgyvendinimai nelyginami kaip vienodas absoliutus matas.</w:t>
      </w:r>
    </w:p>
    <w:tbl>
      <w:tblPr>
        <w:tblStyle w:val="TableGrid"/>
        <w:tblW w:w="964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928"/>
        <w:gridCol w:w="1928"/>
        <w:gridCol w:w="1928"/>
        <w:gridCol w:w="1928"/>
        <w:gridCol w:w="1928"/>
      </w:tblGrid>
      <w:tr>
        <w:trPr>
          <w:tblHeader w:val="true"/>
          <w:cantSplit/>
        </w:trPr>
        <w:tc>
          <w:tcPr>
            <w:tcW w:w="1928" w:type="dxa"/>
            <w:tcBorders/>
          </w:tcPr>
          <w:p>
            <w:pPr>
              <w:pStyle w:val="Normal"/>
              <w:widowControl/>
              <w:spacing w:lineRule="auto" w:line="240" w:before="0" w:after="60"/>
              <w:ind w:hanging="0"/>
              <w:jc w:val="start"/>
              <w:rPr>
                <w:kern w:val="0"/>
                <w:szCs w:val="22"/>
                <w:lang w:val="en-US" w:eastAsia="en-US" w:bidi="ar-SA"/>
              </w:rPr>
            </w:pPr>
            <w:r>
              <w:rPr>
                <w:b/>
                <w:kern w:val="0"/>
                <w:sz w:val="20"/>
                <w:szCs w:val="22"/>
                <w:lang w:val="en-US" w:eastAsia="en-US" w:bidi="ar-SA"/>
              </w:rPr>
              <w:t>Metodas</w:t>
            </w:r>
          </w:p>
        </w:tc>
        <w:tc>
          <w:tcPr>
            <w:tcW w:w="1928" w:type="dxa"/>
            <w:tcBorders/>
          </w:tcPr>
          <w:p>
            <w:pPr>
              <w:pStyle w:val="Normal"/>
              <w:widowControl/>
              <w:spacing w:lineRule="auto" w:line="240" w:before="0" w:after="60"/>
              <w:ind w:hanging="0"/>
              <w:jc w:val="start"/>
              <w:rPr>
                <w:kern w:val="0"/>
                <w:szCs w:val="22"/>
                <w:lang w:val="en-US" w:eastAsia="en-US" w:bidi="ar-SA"/>
              </w:rPr>
            </w:pPr>
            <w:r>
              <w:rPr>
                <w:b/>
                <w:kern w:val="0"/>
                <w:sz w:val="20"/>
                <w:szCs w:val="22"/>
                <w:lang w:val="en-US" w:eastAsia="en-US" w:bidi="ar-SA"/>
              </w:rPr>
              <w:t>Pradžios eil.</w:t>
            </w:r>
          </w:p>
        </w:tc>
        <w:tc>
          <w:tcPr>
            <w:tcW w:w="1928" w:type="dxa"/>
            <w:tcBorders/>
          </w:tcPr>
          <w:p>
            <w:pPr>
              <w:pStyle w:val="Normal"/>
              <w:widowControl/>
              <w:spacing w:lineRule="auto" w:line="240" w:before="0" w:after="60"/>
              <w:ind w:hanging="0"/>
              <w:jc w:val="start"/>
              <w:rPr>
                <w:kern w:val="0"/>
                <w:szCs w:val="22"/>
                <w:lang w:val="en-US" w:eastAsia="en-US" w:bidi="ar-SA"/>
              </w:rPr>
            </w:pPr>
            <w:r>
              <w:rPr>
                <w:b/>
                <w:kern w:val="0"/>
                <w:sz w:val="20"/>
                <w:szCs w:val="22"/>
                <w:lang w:val="en-US" w:eastAsia="en-US" w:bidi="ar-SA"/>
              </w:rPr>
              <w:t>CC</w:t>
            </w:r>
          </w:p>
        </w:tc>
        <w:tc>
          <w:tcPr>
            <w:tcW w:w="1928" w:type="dxa"/>
            <w:tcBorders/>
          </w:tcPr>
          <w:p>
            <w:pPr>
              <w:pStyle w:val="Normal"/>
              <w:widowControl/>
              <w:spacing w:lineRule="auto" w:line="240" w:before="0" w:after="60"/>
              <w:ind w:hanging="0"/>
              <w:jc w:val="start"/>
              <w:rPr>
                <w:kern w:val="0"/>
                <w:szCs w:val="22"/>
                <w:lang w:val="en-US" w:eastAsia="en-US" w:bidi="ar-SA"/>
              </w:rPr>
            </w:pPr>
            <w:r>
              <w:rPr>
                <w:b/>
                <w:kern w:val="0"/>
                <w:sz w:val="20"/>
                <w:szCs w:val="22"/>
                <w:lang w:val="en-US" w:eastAsia="en-US" w:bidi="ar-SA"/>
              </w:rPr>
              <w:t>Kognityvinis</w:t>
            </w:r>
          </w:p>
        </w:tc>
        <w:tc>
          <w:tcPr>
            <w:tcW w:w="1928" w:type="dxa"/>
            <w:tcBorders/>
          </w:tcPr>
          <w:p>
            <w:pPr>
              <w:pStyle w:val="Normal"/>
              <w:widowControl/>
              <w:spacing w:lineRule="auto" w:line="240" w:before="0" w:after="60"/>
              <w:ind w:hanging="0"/>
              <w:jc w:val="start"/>
              <w:rPr>
                <w:kern w:val="0"/>
                <w:szCs w:val="22"/>
                <w:lang w:val="en-US" w:eastAsia="en-US" w:bidi="ar-SA"/>
              </w:rPr>
            </w:pPr>
            <w:r>
              <w:rPr>
                <w:b/>
                <w:kern w:val="0"/>
                <w:sz w:val="20"/>
                <w:szCs w:val="22"/>
                <w:lang w:val="en-US" w:eastAsia="en-US" w:bidi="ar-SA"/>
              </w:rPr>
              <w:t>Bazinių kelių tikslas</w:t>
            </w:r>
          </w:p>
        </w:tc>
      </w:tr>
      <w:tr>
        <w:trPr>
          <w:cantSplit/>
        </w:trPr>
        <w:tc>
          <w:tcPr>
            <w:tcW w:w="1928"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StatsService.getPagesPerDay</w:t>
            </w:r>
          </w:p>
        </w:tc>
        <w:tc>
          <w:tcPr>
            <w:tcW w:w="1928"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72</w:t>
            </w:r>
          </w:p>
        </w:tc>
        <w:tc>
          <w:tcPr>
            <w:tcW w:w="1928"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11</w:t>
            </w:r>
          </w:p>
        </w:tc>
        <w:tc>
          <w:tcPr>
            <w:tcW w:w="1928"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16</w:t>
            </w:r>
          </w:p>
        </w:tc>
        <w:tc>
          <w:tcPr>
            <w:tcW w:w="1928"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11</w:t>
            </w:r>
          </w:p>
        </w:tc>
      </w:tr>
      <w:tr>
        <w:trPr>
          <w:cantSplit/>
        </w:trPr>
        <w:tc>
          <w:tcPr>
            <w:tcW w:w="1928"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StatsService.buildDataPointsForRange</w:t>
            </w:r>
          </w:p>
        </w:tc>
        <w:tc>
          <w:tcPr>
            <w:tcW w:w="1928"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179</w:t>
            </w:r>
          </w:p>
        </w:tc>
        <w:tc>
          <w:tcPr>
            <w:tcW w:w="1928"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18</w:t>
            </w:r>
          </w:p>
        </w:tc>
        <w:tc>
          <w:tcPr>
            <w:tcW w:w="1928"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22</w:t>
            </w:r>
          </w:p>
        </w:tc>
        <w:tc>
          <w:tcPr>
            <w:tcW w:w="1928"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18</w:t>
            </w:r>
          </w:p>
        </w:tc>
      </w:tr>
      <w:tr>
        <w:trPr>
          <w:cantSplit/>
        </w:trPr>
        <w:tc>
          <w:tcPr>
            <w:tcW w:w="1928"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StatsService.buildDataPoints</w:t>
            </w:r>
          </w:p>
        </w:tc>
        <w:tc>
          <w:tcPr>
            <w:tcW w:w="1928"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257</w:t>
            </w:r>
          </w:p>
        </w:tc>
        <w:tc>
          <w:tcPr>
            <w:tcW w:w="1928"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13</w:t>
            </w:r>
          </w:p>
        </w:tc>
        <w:tc>
          <w:tcPr>
            <w:tcW w:w="1928"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22</w:t>
            </w:r>
          </w:p>
        </w:tc>
        <w:tc>
          <w:tcPr>
            <w:tcW w:w="1928"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13</w:t>
            </w:r>
          </w:p>
        </w:tc>
      </w:tr>
      <w:tr>
        <w:trPr>
          <w:cantSplit/>
        </w:trPr>
        <w:tc>
          <w:tcPr>
            <w:tcW w:w="1928"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BibliotekaPuslapis.applyFilters</w:t>
            </w:r>
          </w:p>
        </w:tc>
        <w:tc>
          <w:tcPr>
            <w:tcW w:w="1928"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81</w:t>
            </w:r>
          </w:p>
        </w:tc>
        <w:tc>
          <w:tcPr>
            <w:tcW w:w="1928"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7</w:t>
            </w:r>
          </w:p>
        </w:tc>
        <w:tc>
          <w:tcPr>
            <w:tcW w:w="1928"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4</w:t>
            </w:r>
          </w:p>
        </w:tc>
        <w:tc>
          <w:tcPr>
            <w:tcW w:w="1928"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7</w:t>
            </w:r>
          </w:p>
        </w:tc>
      </w:tr>
      <w:tr>
        <w:trPr>
          <w:cantSplit/>
        </w:trPr>
        <w:tc>
          <w:tcPr>
            <w:tcW w:w="1928"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EpubReaderComponent.loadEpub</w:t>
            </w:r>
          </w:p>
        </w:tc>
        <w:tc>
          <w:tcPr>
            <w:tcW w:w="1928"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65</w:t>
            </w:r>
          </w:p>
        </w:tc>
        <w:tc>
          <w:tcPr>
            <w:tcW w:w="1928"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7</w:t>
            </w:r>
          </w:p>
        </w:tc>
        <w:tc>
          <w:tcPr>
            <w:tcW w:w="1928"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3</w:t>
            </w:r>
          </w:p>
        </w:tc>
        <w:tc>
          <w:tcPr>
            <w:tcW w:w="1928"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7</w:t>
            </w:r>
          </w:p>
        </w:tc>
      </w:tr>
    </w:tbl>
    <w:p>
      <w:pPr>
        <w:pStyle w:val="Normal"/>
        <w:spacing w:before="0" w:after="60"/>
        <w:rPr/>
      </w:pPr>
      <w:r>
        <w:rPr/>
      </w:r>
    </w:p>
    <w:p>
      <w:pPr>
        <w:pStyle w:val="Normal"/>
        <w:rPr/>
      </w:pPr>
      <w:r>
        <w:rPr/>
        <w:t xml:space="preserve">Java vieta: </w:t>
      </w:r>
      <w:r>
        <w:rPr>
          <w:sz w:val="20"/>
        </w:rPr>
        <w:t>stats/service/StatsService.java</w:t>
      </w:r>
      <w:r>
        <w:rPr/>
        <w:t xml:space="preserve"> serverio pakete </w:t>
      </w:r>
      <w:r>
        <w:rPr>
          <w:sz w:val="20"/>
        </w:rPr>
        <w:t>lt/prifkodas/knygnesys</w:t>
      </w:r>
      <w:r>
        <w:rPr/>
        <w:t xml:space="preserve">. TS vietos: </w:t>
      </w:r>
      <w:r>
        <w:rPr>
          <w:sz w:val="20"/>
        </w:rPr>
        <w:t>pages/biblioteka/biblioteka.component.ts</w:t>
      </w:r>
      <w:r>
        <w:rPr/>
        <w:t xml:space="preserve"> ir </w:t>
      </w:r>
      <w:r>
        <w:rPr>
          <w:sz w:val="20"/>
        </w:rPr>
        <w:t>pages/epub-reader/epub-reader.component.ts</w:t>
      </w:r>
      <w:r>
        <w:rPr/>
        <w:t xml:space="preserve"> kliento </w:t>
      </w:r>
      <w:r>
        <w:rPr>
          <w:sz w:val="20"/>
        </w:rPr>
        <w:t>src/app</w:t>
      </w:r>
      <w:r>
        <w:rPr/>
        <w:t xml:space="preserve">. Java skaitiklis kiekvienam konkrečiam metodui pradeda nuo vieneto; prideda po vieną už </w:t>
      </w:r>
      <w:r>
        <w:rPr>
          <w:sz w:val="20"/>
        </w:rPr>
        <w:t>if</w:t>
      </w:r>
      <w:r>
        <w:rPr/>
        <w:t xml:space="preserve">, ciklą, </w:t>
      </w:r>
      <w:r>
        <w:rPr>
          <w:sz w:val="20"/>
        </w:rPr>
        <w:t>catch</w:t>
      </w:r>
      <w:r>
        <w:rPr/>
        <w:t xml:space="preserve">, ternarinę išraišką, ne </w:t>
      </w:r>
      <w:r>
        <w:rPr>
          <w:sz w:val="20"/>
        </w:rPr>
        <w:t>default</w:t>
      </w:r>
      <w:r>
        <w:rPr/>
        <w:t xml:space="preserve"> case ir kiekvieną </w:t>
      </w:r>
      <w:r>
        <w:rPr>
          <w:sz w:val="20"/>
        </w:rPr>
        <w:t>&amp;&amp;</w:t>
      </w:r>
      <w:r>
        <w:rPr/>
        <w:t xml:space="preserve"> arba </w:t>
      </w:r>
      <w:r>
        <w:rPr>
          <w:sz w:val="20"/>
        </w:rPr>
        <w:t>||</w:t>
      </w:r>
      <w:r>
        <w:rPr/>
        <w:t xml:space="preserve">. Įdėtos lambda ir klasė nepridedamos prie išorinio metodo. Visų sprendimų vietos išsaugotos </w:t>
      </w:r>
      <w:r>
        <w:rPr>
          <w:sz w:val="20"/>
        </w:rPr>
        <w:t>analysis/java-structure.json</w:t>
      </w:r>
      <w:r>
        <w:rPr/>
        <w:t>.</w:t>
      </w:r>
    </w:p>
    <w:p>
      <w:pPr>
        <w:pStyle w:val="Normal"/>
        <w:rPr/>
      </w:pPr>
      <w:r>
        <w:rPr>
          <w:sz w:val="20"/>
        </w:rPr>
        <w:t>getPagesPerDay</w:t>
      </w:r>
      <w:r>
        <w:rPr/>
        <w:t xml:space="preserve"> tikrina intervalą ir apskaičiuoja pažangos skirtumus; kognityvinis 16 rodo įdėtų šakų poveikį. </w:t>
      </w:r>
      <w:r>
        <w:rPr>
          <w:sz w:val="20"/>
        </w:rPr>
        <w:t>buildDataPointsForRange</w:t>
      </w:r>
      <w:r>
        <w:rPr/>
        <w:t xml:space="preserve"> ir </w:t>
      </w:r>
      <w:r>
        <w:rPr>
          <w:sz w:val="20"/>
        </w:rPr>
        <w:t>buildDataPoints</w:t>
      </w:r>
      <w:r>
        <w:rPr/>
        <w:t xml:space="preserve"> jungia grupavimą pagal laiką su duomenų agregavimu, todėl jų balas 22 viršija aktyvios taisyklės 15 slenkstį. Išskaidymo tikslas būtų atskirti kalendoriaus taisykles nuo agregavimo, ne vien nuslėpti šakas pagalbiniais metodais. </w:t>
      </w:r>
      <w:r>
        <w:rPr>
          <w:sz w:val="20"/>
        </w:rPr>
        <w:t>applyFilters</w:t>
      </w:r>
      <w:r>
        <w:rPr/>
        <w:t xml:space="preserve"> tikrina neprivalomus filtrus; </w:t>
      </w:r>
      <w:r>
        <w:rPr>
          <w:sz w:val="20"/>
        </w:rPr>
        <w:t>loadEpub</w:t>
      </w:r>
      <w:r>
        <w:rPr/>
        <w:t xml:space="preserve"> apima įkėlimą, numatytąsias reikšmes ir nesėkmės kelią. Pastarojo realus testavimas sudėtingas dėl asinchroninių ir naršyklės priklausomybių net tada, kai kognityvinis skaičius nedidelis.</w:t>
      </w:r>
    </w:p>
    <w:p>
      <w:pPr>
        <w:pStyle w:val="Heading2"/>
        <w:rPr/>
      </w:pPr>
      <w:bookmarkStart w:id="15" w:name="__RefHeading___Toc4346_3682259208"/>
      <w:bookmarkEnd w:id="15"/>
      <w:r>
        <w:rPr/>
        <w:t>4.2. Rankinis applyFilters ciklomatinio balo pagrindimas</w:t>
      </w:r>
    </w:p>
    <w:p>
      <w:pPr>
        <w:pStyle w:val="Normal"/>
        <w:rPr/>
      </w:pPr>
      <w:r>
        <w:rPr/>
        <w:t xml:space="preserve">ESLint metodika: bazinis kelias 1; trys </w:t>
      </w:r>
      <w:r>
        <w:rPr>
          <w:sz w:val="20"/>
        </w:rPr>
        <w:t>if</w:t>
      </w:r>
      <w:r>
        <w:rPr/>
        <w:t xml:space="preserve"> patikros (84, 87 ir 90 eil.) prideda 3; dvi pasirenkamosios prieigos </w:t>
      </w:r>
      <w:r>
        <w:rPr>
          <w:sz w:val="20"/>
        </w:rPr>
        <w:t>title?.trim()</w:t>
      </w:r>
      <w:r>
        <w:rPr/>
        <w:t xml:space="preserve"> ir </w:t>
      </w:r>
      <w:r>
        <w:rPr>
          <w:sz w:val="20"/>
        </w:rPr>
        <w:t>author?.trim()</w:t>
      </w:r>
      <w:r>
        <w:rPr/>
        <w:t xml:space="preserve"> prideda 2; trumpai jungiamas </w:t>
      </w:r>
      <w:r>
        <w:rPr>
          <w:sz w:val="20"/>
        </w:rPr>
        <w:t>&amp;&amp;</w:t>
      </w:r>
      <w:r>
        <w:rPr/>
        <w:t xml:space="preserve"> 90 eil. prideda 1. Iš viso: 1 + 3 + 2 + 1 = 7. </w:t>
      </w:r>
      <w:r>
        <w:rPr>
          <w:sz w:val="20"/>
        </w:rPr>
        <w:t>next</w:t>
      </w:r>
      <w:r>
        <w:rPr/>
        <w:t xml:space="preserve"> ir </w:t>
      </w:r>
      <w:r>
        <w:rPr>
          <w:sz w:val="20"/>
        </w:rPr>
        <w:t>error</w:t>
      </w:r>
      <w:r>
        <w:rPr/>
        <w:t xml:space="preserve"> callback funkcijos yra atskiri matavimo vienetai; jos nepridedamos prie išorinio metodo balo. SonarJS kognityvinis 4 susidaro iš trijų tiesinių sąlygų ir loginių sąlygų sekos; optional chaining traktuojamas kitaip negu ciklomatinėje taisyklėje.</w:t>
      </w:r>
    </w:p>
    <w:p>
      <w:pPr>
        <w:pStyle w:val="Normal"/>
        <w:rPr/>
      </w:pPr>
      <w:r>
        <w:rPr/>
        <w:t>Tai yra aiškiai aprašyta šio įrankio konvencija. Jos negalima pakeisti taisykle „skaičiuoju tik if“ ir vis tiek teigti, kad tikrinamas tas pats rezultatas. Kodo eilutės tiesiogiai prieinamos repozitorijoje ir įrankio išraše.[1][3]</w:t>
      </w:r>
    </w:p>
    <w:p>
      <w:pPr>
        <w:pStyle w:val="Heading2"/>
        <w:rPr/>
      </w:pPr>
      <w:bookmarkStart w:id="16" w:name="__RefHeading___Toc4348_3682259208"/>
      <w:bookmarkEnd w:id="16"/>
      <w:r>
        <w:rPr/>
        <w:t>4.3. Minimalūs testavimo tikslai ir apribojimai</w:t>
      </w:r>
    </w:p>
    <w:p>
      <w:pPr>
        <w:pStyle w:val="Normal"/>
        <w:rPr/>
      </w:pPr>
      <w:r>
        <w:rPr/>
        <w:t>Lentelėje nurodytas V(G) dydžio bazinių nepriklausomų kelių tikslas pagal pasirinktą valdymo srauto modelį. Tai nėra universalus mažiausias testų skaičius šakų, MC/DC, ribinių reikšmių, išimčių ar visų vykdymo kelių padengimui. Dalies sintaksinių kelių negalima įgyvendinti dėl įvesties apribojimų. Negalima tiesiog susumuoti testų projekte ir laikyti visus šiuos metodus padengtais.</w:t>
      </w:r>
    </w:p>
    <w:p>
      <w:pPr>
        <w:pStyle w:val="Normal"/>
        <w:rPr/>
      </w:pPr>
      <w:r>
        <w:rPr>
          <w:sz w:val="20"/>
        </w:rPr>
        <w:t>getPagesPerDay</w:t>
      </w:r>
      <w:r>
        <w:rPr/>
        <w:t xml:space="preserve">: tikrinti tuščią istoriją, numatytą ir aiškiai perduotą intervalą, neteisingą intervalo kryptį, skirtingas dienas, nepakitusią ir sumažėjusią pažangą, kelias knygas ir neigiamą ar ribinį dienų skaičių. </w:t>
      </w:r>
      <w:r>
        <w:rPr>
          <w:sz w:val="20"/>
        </w:rPr>
        <w:t>buildDataPointsForRange</w:t>
      </w:r>
      <w:r>
        <w:rPr/>
        <w:t xml:space="preserve">: kiekviena palaikoma granuliacija, tušti duomenys, intervalas ties savaitės / mėnesio riba, neigiamos pažangos skirtumas ir keli įrašai viename krepšelyje. </w:t>
      </w:r>
      <w:r>
        <w:rPr>
          <w:sz w:val="20"/>
        </w:rPr>
        <w:t>buildDataPoints</w:t>
      </w:r>
      <w:r>
        <w:rPr/>
        <w:t>: kiekvienas pasirinkimas switch, nulinės pažangos skirtumas ir agregavimas.</w:t>
      </w:r>
    </w:p>
    <w:p>
      <w:pPr>
        <w:pStyle w:val="Normal"/>
        <w:rPr/>
      </w:pPr>
      <w:r>
        <w:rPr>
          <w:sz w:val="20"/>
        </w:rPr>
        <w:t>applyFilters</w:t>
      </w:r>
      <w:r>
        <w:rPr/>
        <w:t xml:space="preserve">: filtro nėra, tuščias / tarpais užpildytas / tikras pavadinimas ir autorius, progress </w:t>
      </w:r>
      <w:r>
        <w:rPr>
          <w:sz w:val="20"/>
        </w:rPr>
        <w:t>undefined</w:t>
      </w:r>
      <w:r>
        <w:rPr/>
        <w:t xml:space="preserve">, </w:t>
      </w:r>
      <w:r>
        <w:rPr>
          <w:sz w:val="20"/>
        </w:rPr>
        <w:t>null</w:t>
      </w:r>
      <w:r>
        <w:rPr/>
        <w:t xml:space="preserve">, nulis ir nenulinė reikšmė; serverio sėkmė ir klaida tikrinamos kaip atskirų callback elgesys. </w:t>
      </w:r>
      <w:r>
        <w:rPr>
          <w:sz w:val="20"/>
        </w:rPr>
        <w:t>loadEpub</w:t>
      </w:r>
      <w:r>
        <w:rPr/>
        <w:t>: nėra vietinės bylos, netinkama byla, įkėlimo / navigacijos / vietų generavimo nesėkmės, nesantys ir esantys skaitymo nustatymai bei komponento sunaikinimas įkeliant. Ne visi šie siūlomi scenarijai jau įgyvendinti. Esamos 28 ir 17 testų patikros neįrodo pilno šios lentelės padengimo.</w:t>
      </w:r>
    </w:p>
    <w:p>
      <w:pPr>
        <w:pStyle w:val="Heading1"/>
        <w:rPr/>
      </w:pPr>
      <w:bookmarkStart w:id="17" w:name="__RefHeading___Toc4350_3682259208"/>
      <w:bookmarkEnd w:id="17"/>
      <w:r>
        <w:rPr/>
        <w:t>5. Prižiūrimumas, struktūra ir dalių priklausomybės</w:t>
      </w:r>
    </w:p>
    <w:p>
      <w:pPr>
        <w:pStyle w:val="Heading2"/>
        <w:rPr/>
      </w:pPr>
      <w:bookmarkStart w:id="18" w:name="__RefHeading___Toc4352_3682259208"/>
      <w:bookmarkEnd w:id="18"/>
      <w:r>
        <w:rPr/>
        <w:t>5.1. Pagrindinis prižiūrimumo rezultatas: SonarQube</w:t>
      </w:r>
    </w:p>
    <w:p>
      <w:pPr>
        <w:pStyle w:val="Normal"/>
        <w:rPr/>
      </w:pPr>
      <w:r>
        <w:rPr/>
        <w:t xml:space="preserve">Pagrindinis rodiklis yra faktiškai apskaičiuotas SonarQube MQR </w:t>
      </w:r>
      <w:r>
        <w:rPr>
          <w:sz w:val="20"/>
        </w:rPr>
        <w:t>software_quality_maintainability_rating</w:t>
      </w:r>
      <w:r>
        <w:rPr/>
        <w:t xml:space="preserve"> = 1,0, atitinkantis </w:t>
      </w:r>
      <w:r>
        <w:rPr>
          <w:b/>
        </w:rPr>
        <w:t>A</w:t>
      </w:r>
      <w:r>
        <w:rPr/>
        <w:t xml:space="preserve">. Techninės skolos santykis </w:t>
      </w:r>
      <w:r>
        <w:rPr>
          <w:sz w:val="20"/>
        </w:rPr>
        <w:t>software_quality_maintainability_debt_ratio</w:t>
      </w:r>
      <w:r>
        <w:rPr/>
        <w:t xml:space="preserve"> = 0,1 %, o modelio taisymo pastanga </w:t>
      </w:r>
      <w:r>
        <w:rPr>
          <w:sz w:val="20"/>
        </w:rPr>
        <w:t>software_quality_maintainability_remediation_effort</w:t>
      </w:r>
      <w:r>
        <w:rPr/>
        <w:t xml:space="preserve"> = 192 minutės. Šiame režime aptikti 52 prižiūrimumą veikiantys radiniai. Tai yra visų skenavimo apimtyje esančių Java, TS, HTML ir CSS failų įvertis, ne vieno atsitiktinio komponento balas.[5]</w:t>
      </w:r>
    </w:p>
    <w:p>
      <w:pPr>
        <w:pStyle w:val="Normal"/>
        <w:rPr/>
      </w:pPr>
      <w:r>
        <w:rPr/>
        <w:t>A reiškia nedidelį taisymo pastangos ir numanomos kūrimo kainos santykį pagal Sonar modelį. Tai nereiškia, kad nėra klaidų: saugumo ir patikimumo įverčiai abu D, atitinkamai 3 ir 45 poveikio radiniai. Vienas radinys gali veikti kelias kokybės sritis, todėl sričių skaičių negalima sudėti ir vadinti unikalių problemų skaičiumi. Unikalių issue įrašų yra 85.</w:t>
      </w:r>
    </w:p>
    <w:p>
      <w:pPr>
        <w:pStyle w:val="Normal"/>
        <w:rPr/>
      </w:pPr>
      <w:r>
        <w:rPr/>
        <w:t xml:space="preserve">Standartinio režimo suderinamumo laukai taip pat grąžinami API: </w:t>
      </w:r>
      <w:r>
        <w:rPr>
          <w:sz w:val="20"/>
        </w:rPr>
        <w:t>sqale_index</w:t>
      </w:r>
      <w:r>
        <w:rPr/>
        <w:t xml:space="preserve"> 257 minutės ir </w:t>
      </w:r>
      <w:r>
        <w:rPr>
          <w:sz w:val="20"/>
        </w:rPr>
        <w:t>sqale_debt_ratio</w:t>
      </w:r>
      <w:r>
        <w:rPr/>
        <w:t xml:space="preserve"> 0,2 %. Jie nesumaišomi su MQR 192 ir 0,1 %. Tai du skirtingi vertinimo laukai; pagrindinis šio darbo rezultatas yra MQR.</w:t>
      </w:r>
    </w:p>
    <w:p>
      <w:pPr>
        <w:pStyle w:val="Heading2"/>
        <w:rPr/>
      </w:pPr>
      <w:bookmarkStart w:id="19" w:name="__RefHeading___Toc4354_3682259208"/>
      <w:bookmarkEnd w:id="19"/>
      <w:r>
        <w:rPr/>
        <w:t>5.2. Papildomas MI ir kritinis jo tikrinimas</w:t>
      </w:r>
    </w:p>
    <w:p>
      <w:pPr>
        <w:pStyle w:val="Normal"/>
        <w:rPr/>
      </w:pPr>
      <w:r>
        <w:rPr/>
        <w:t xml:space="preserve">Papildomai iš 22 produkcinių TS failų JavaScript atvaizdo apskaičiuoti normalizuoti MI. Failų MI mediana – 46,18 / 100. Skaičius gautas ne AI nuomone, o escomplex išmatuotais Halsteado, CC ir loginių eilučių duomenimis bei paskelbta formule. Originalus escomplex įrankio </w:t>
      </w:r>
      <w:r>
        <w:rPr>
          <w:sz w:val="20"/>
        </w:rPr>
        <w:t>maintainabilityTool</w:t>
      </w:r>
      <w:r>
        <w:rPr/>
        <w:t xml:space="preserve"> turi kitokį agregavimą ir tiesiogiai nesulyginamas su papildomai apskaičiuotu MI.[4]</w:t>
      </w:r>
    </w:p>
    <w:p>
      <w:pPr>
        <w:pStyle w:val="Normal"/>
        <w:rPr/>
      </w:pPr>
      <w:r>
        <w:rPr/>
        <w:t xml:space="preserve">Pavyzdys </w:t>
      </w:r>
      <w:r>
        <w:rPr>
          <w:sz w:val="20"/>
        </w:rPr>
        <w:t>loadEpub</w:t>
      </w:r>
      <w:r>
        <w:rPr/>
        <w:t>: V = 1552,494; G = 6 escomplex atvaizde; L = 48 loginių eilučių; formulės rezultatas 40,17 / 100. Originalaus TS ESLint CC yra 7, ne 6, nes transpiliacija ir analizatorius kitaip traktuoja konstrukcijas. MI skaičiavimui nepakeičiamas vienas formulės įvesties rodiklis kito įrankio skaičiumi. Be komentaro koeficiento skaičiuotas indeksas, tipų deklaracijos ir išoriniai HTML šablonai neįtraukti.</w:t>
      </w:r>
    </w:p>
    <w:p>
      <w:pPr>
        <w:pStyle w:val="Normal"/>
        <w:rPr/>
      </w:pPr>
      <w:r>
        <w:rPr/>
        <w:t xml:space="preserve">Pradinis bandymas viso korpuso sumai taikyti vieno matavimo vieneto formulę grąžino nulį. Šis nulis atmestas kaip visos programos kokybės verdiktas: toks agregavimas stipriai priklauso nuo korpuso dydžio ir nėra pagrįstas sistemos įvertis. </w:t>
      </w:r>
      <w:r>
        <w:rPr>
          <w:sz w:val="20"/>
        </w:rPr>
        <w:t>analysis/normalise_mi.py</w:t>
      </w:r>
      <w:r>
        <w:rPr/>
        <w:t xml:space="preserve"> aiškiai saugo šį atmestą skaičiavimą ir apskaičiuoja failų rodiklius. Todėl šiame darbe MI yra papildomas frontend proxy; mišrios sistemos pagrindinis prižiūrimumo rezultatas yra native SonarQube A.</w:t>
      </w:r>
    </w:p>
    <w:p>
      <w:pPr>
        <w:pStyle w:val="Heading2"/>
        <w:rPr/>
      </w:pPr>
      <w:bookmarkStart w:id="20" w:name="__RefHeading___Toc4356_3682259208"/>
      <w:bookmarkEnd w:id="20"/>
      <w:r>
        <w:rPr/>
        <w:t>5.3. Serverio OO struktūra</w:t>
      </w:r>
    </w:p>
    <w:tbl>
      <w:tblPr>
        <w:tblStyle w:val="TableGrid"/>
        <w:tblW w:w="963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606"/>
        <w:gridCol w:w="1605"/>
        <w:gridCol w:w="1607"/>
        <w:gridCol w:w="1606"/>
        <w:gridCol w:w="1605"/>
        <w:gridCol w:w="1607"/>
      </w:tblGrid>
      <w:tr>
        <w:trPr>
          <w:tblHeader w:val="true"/>
          <w:cantSplit/>
        </w:trPr>
        <w:tc>
          <w:tcPr>
            <w:tcW w:w="1606" w:type="dxa"/>
            <w:tcBorders/>
          </w:tcPr>
          <w:p>
            <w:pPr>
              <w:pStyle w:val="Normal"/>
              <w:widowControl/>
              <w:spacing w:lineRule="auto" w:line="240" w:before="0" w:after="60"/>
              <w:ind w:hanging="0"/>
              <w:jc w:val="start"/>
              <w:rPr>
                <w:kern w:val="0"/>
                <w:szCs w:val="22"/>
                <w:lang w:val="en-US" w:eastAsia="en-US" w:bidi="ar-SA"/>
              </w:rPr>
            </w:pPr>
            <w:r>
              <w:rPr>
                <w:b/>
                <w:kern w:val="0"/>
                <w:sz w:val="20"/>
                <w:szCs w:val="22"/>
                <w:lang w:val="en-US" w:eastAsia="en-US" w:bidi="ar-SA"/>
              </w:rPr>
              <w:t>Klasė</w:t>
            </w:r>
          </w:p>
        </w:tc>
        <w:tc>
          <w:tcPr>
            <w:tcW w:w="1605" w:type="dxa"/>
            <w:tcBorders/>
          </w:tcPr>
          <w:p>
            <w:pPr>
              <w:pStyle w:val="Normal"/>
              <w:widowControl/>
              <w:spacing w:lineRule="auto" w:line="240" w:before="0" w:after="60"/>
              <w:ind w:hanging="0"/>
              <w:jc w:val="start"/>
              <w:rPr>
                <w:kern w:val="0"/>
                <w:szCs w:val="22"/>
                <w:lang w:val="en-US" w:eastAsia="en-US" w:bidi="ar-SA"/>
              </w:rPr>
            </w:pPr>
            <w:r>
              <w:rPr>
                <w:b/>
                <w:kern w:val="0"/>
                <w:sz w:val="20"/>
                <w:szCs w:val="22"/>
                <w:lang w:val="en-US" w:eastAsia="en-US" w:bidi="ar-SA"/>
              </w:rPr>
              <w:t>Fizinės eil.</w:t>
            </w:r>
          </w:p>
        </w:tc>
        <w:tc>
          <w:tcPr>
            <w:tcW w:w="1607" w:type="dxa"/>
            <w:tcBorders/>
          </w:tcPr>
          <w:p>
            <w:pPr>
              <w:pStyle w:val="Normal"/>
              <w:widowControl/>
              <w:spacing w:lineRule="auto" w:line="240" w:before="0" w:after="60"/>
              <w:ind w:hanging="0"/>
              <w:jc w:val="start"/>
              <w:rPr>
                <w:kern w:val="0"/>
                <w:szCs w:val="22"/>
                <w:lang w:val="en-US" w:eastAsia="en-US" w:bidi="ar-SA"/>
              </w:rPr>
            </w:pPr>
            <w:r>
              <w:rPr>
                <w:b/>
                <w:kern w:val="0"/>
                <w:sz w:val="20"/>
                <w:szCs w:val="22"/>
                <w:lang w:val="en-US" w:eastAsia="en-US" w:bidi="ar-SA"/>
              </w:rPr>
              <w:t>Konkretūs metodai</w:t>
            </w:r>
          </w:p>
        </w:tc>
        <w:tc>
          <w:tcPr>
            <w:tcW w:w="1606" w:type="dxa"/>
            <w:tcBorders/>
          </w:tcPr>
          <w:p>
            <w:pPr>
              <w:pStyle w:val="Normal"/>
              <w:widowControl/>
              <w:spacing w:lineRule="auto" w:line="240" w:before="0" w:after="60"/>
              <w:ind w:hanging="0"/>
              <w:jc w:val="start"/>
              <w:rPr>
                <w:kern w:val="0"/>
                <w:szCs w:val="22"/>
                <w:lang w:val="en-US" w:eastAsia="en-US" w:bidi="ar-SA"/>
              </w:rPr>
            </w:pPr>
            <w:r>
              <w:rPr>
                <w:b/>
                <w:kern w:val="0"/>
                <w:sz w:val="20"/>
                <w:szCs w:val="22"/>
                <w:lang w:val="en-US" w:eastAsia="en-US" w:bidi="ar-SA"/>
              </w:rPr>
              <w:t>WMC</w:t>
            </w:r>
          </w:p>
        </w:tc>
        <w:tc>
          <w:tcPr>
            <w:tcW w:w="1605" w:type="dxa"/>
            <w:tcBorders/>
          </w:tcPr>
          <w:p>
            <w:pPr>
              <w:pStyle w:val="Normal"/>
              <w:widowControl/>
              <w:spacing w:lineRule="auto" w:line="240" w:before="0" w:after="60"/>
              <w:ind w:hanging="0"/>
              <w:jc w:val="start"/>
              <w:rPr>
                <w:kern w:val="0"/>
                <w:szCs w:val="22"/>
                <w:lang w:val="en-US" w:eastAsia="en-US" w:bidi="ar-SA"/>
              </w:rPr>
            </w:pPr>
            <w:r>
              <w:rPr>
                <w:b/>
                <w:kern w:val="0"/>
                <w:sz w:val="20"/>
                <w:szCs w:val="22"/>
                <w:lang w:val="en-US" w:eastAsia="en-US" w:bidi="ar-SA"/>
              </w:rPr>
              <w:t>CBO_import</w:t>
            </w:r>
          </w:p>
        </w:tc>
        <w:tc>
          <w:tcPr>
            <w:tcW w:w="1607" w:type="dxa"/>
            <w:tcBorders/>
          </w:tcPr>
          <w:p>
            <w:pPr>
              <w:pStyle w:val="Normal"/>
              <w:widowControl/>
              <w:spacing w:lineRule="auto" w:line="240" w:before="0" w:after="60"/>
              <w:ind w:hanging="0"/>
              <w:jc w:val="start"/>
              <w:rPr>
                <w:kern w:val="0"/>
                <w:szCs w:val="22"/>
                <w:lang w:val="en-US" w:eastAsia="en-US" w:bidi="ar-SA"/>
              </w:rPr>
            </w:pPr>
            <w:r>
              <w:rPr>
                <w:b/>
                <w:kern w:val="0"/>
                <w:sz w:val="20"/>
                <w:szCs w:val="22"/>
                <w:lang w:val="en-US" w:eastAsia="en-US" w:bidi="ar-SA"/>
              </w:rPr>
              <w:t>DIT / NOC</w:t>
            </w:r>
          </w:p>
        </w:tc>
      </w:tr>
      <w:tr>
        <w:trPr>
          <w:cantSplit/>
        </w:trPr>
        <w:tc>
          <w:tcPr>
            <w:tcW w:w="1606"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StatsService</w:t>
            </w:r>
          </w:p>
        </w:tc>
        <w:tc>
          <w:tcPr>
            <w:tcW w:w="1605"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288</w:t>
            </w:r>
          </w:p>
        </w:tc>
        <w:tc>
          <w:tcPr>
            <w:tcW w:w="1607"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11</w:t>
            </w:r>
          </w:p>
        </w:tc>
        <w:tc>
          <w:tcPr>
            <w:tcW w:w="1606"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69</w:t>
            </w:r>
          </w:p>
        </w:tc>
        <w:tc>
          <w:tcPr>
            <w:tcW w:w="1605"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11</w:t>
            </w:r>
          </w:p>
        </w:tc>
        <w:tc>
          <w:tcPr>
            <w:tcW w:w="1607"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0 / 0</w:t>
            </w:r>
          </w:p>
        </w:tc>
      </w:tr>
      <w:tr>
        <w:trPr>
          <w:cantSplit/>
        </w:trPr>
        <w:tc>
          <w:tcPr>
            <w:tcW w:w="1606"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LibraryService</w:t>
            </w:r>
          </w:p>
        </w:tc>
        <w:tc>
          <w:tcPr>
            <w:tcW w:w="1605"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135</w:t>
            </w:r>
          </w:p>
        </w:tc>
        <w:tc>
          <w:tcPr>
            <w:tcW w:w="1607"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8</w:t>
            </w:r>
          </w:p>
        </w:tc>
        <w:tc>
          <w:tcPr>
            <w:tcW w:w="1606"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22</w:t>
            </w:r>
          </w:p>
        </w:tc>
        <w:tc>
          <w:tcPr>
            <w:tcW w:w="1605"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11</w:t>
            </w:r>
          </w:p>
        </w:tc>
        <w:tc>
          <w:tcPr>
            <w:tcW w:w="1607"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0 / 0</w:t>
            </w:r>
          </w:p>
        </w:tc>
      </w:tr>
      <w:tr>
        <w:trPr>
          <w:cantSplit/>
        </w:trPr>
        <w:tc>
          <w:tcPr>
            <w:tcW w:w="1606"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RecommendationsService</w:t>
            </w:r>
          </w:p>
        </w:tc>
        <w:tc>
          <w:tcPr>
            <w:tcW w:w="1605"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52</w:t>
            </w:r>
          </w:p>
        </w:tc>
        <w:tc>
          <w:tcPr>
            <w:tcW w:w="1607"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2</w:t>
            </w:r>
          </w:p>
        </w:tc>
        <w:tc>
          <w:tcPr>
            <w:tcW w:w="1606"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7</w:t>
            </w:r>
          </w:p>
        </w:tc>
        <w:tc>
          <w:tcPr>
            <w:tcW w:w="1605"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3</w:t>
            </w:r>
          </w:p>
        </w:tc>
        <w:tc>
          <w:tcPr>
            <w:tcW w:w="1607"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0 / 0</w:t>
            </w:r>
          </w:p>
        </w:tc>
      </w:tr>
    </w:tbl>
    <w:p>
      <w:pPr>
        <w:pStyle w:val="Normal"/>
        <w:spacing w:before="0" w:after="60"/>
        <w:rPr/>
      </w:pPr>
      <w:r>
        <w:rPr/>
      </w:r>
    </w:p>
    <w:p>
      <w:pPr>
        <w:pStyle w:val="Normal"/>
        <w:rPr/>
      </w:pPr>
      <w:r>
        <w:rPr/>
        <w:t xml:space="preserve">WMC yra pagal aukščiau aprašytą AST politiką išmatuotų konkrečių metodų ir aiškių konstruktorių CC suma. Lombok generuojami metodai neįtraukti. CBO_import – skirtingų aiškiai įrašytų projekto importų skaičius; tai tik importais grindžiamas susietumo proxy, ne semantiškai išspręstas klasikinių CK metrikų CBO. DIT skaičiuoja aiškias </w:t>
      </w:r>
      <w:r>
        <w:rPr>
          <w:sz w:val="20"/>
        </w:rPr>
        <w:t>extends</w:t>
      </w:r>
      <w:r>
        <w:rPr/>
        <w:t xml:space="preserve"> grandinės briaunas, o numanomo </w:t>
      </w:r>
      <w:r>
        <w:rPr>
          <w:sz w:val="20"/>
        </w:rPr>
        <w:t>Object</w:t>
      </w:r>
      <w:r>
        <w:rPr/>
        <w:t xml:space="preserve"> neprideda; NOC – tiesiogines aptiktas poklases. Todėl nulis šiose paslaugose reiškia kompozicijos pasirinkimą, ne tipų ar JPA / Spring priklausomybių nebuvimą. Aptiktos 52 aukščiausio lygio Java deklaracijos; sintaksės analizės klaidų nėra.</w:t>
      </w:r>
    </w:p>
    <w:p>
      <w:pPr>
        <w:pStyle w:val="Normal"/>
        <w:rPr/>
      </w:pPr>
      <w:r>
        <w:rPr/>
        <w:t>StatsService WMC 69 ir 288 fizinių eilučių rodo didžiausią iš šių trijų paslaugų bendrą valdymo srauto apimtį. Didesnis WMC nėra savaiminis refaktoringo nurodymas, tačiau kartu su dviem kognityviniais 22 balais leidžia teikti pirmenybę statistikos skaičiavimų testams ir atsakomybių atskyrimui. LibraryService turi mažesnį WMC, tačiau tiesioginiai disko ir kelių saugyklų veiksmai didina testavimo kainą; metrika to pilnai neparodo.</w:t>
      </w:r>
    </w:p>
    <w:p>
      <w:pPr>
        <w:pStyle w:val="Heading2"/>
        <w:rPr/>
      </w:pPr>
      <w:bookmarkStart w:id="21" w:name="__RefHeading___Toc4358_3682259208"/>
      <w:bookmarkEnd w:id="21"/>
      <w:r>
        <w:rPr/>
        <w:t>5.4. Kliento modulinė struktūra</w:t>
      </w:r>
    </w:p>
    <w:p>
      <w:pPr>
        <w:pStyle w:val="Normal"/>
        <w:rPr/>
      </w:pPr>
      <w:r>
        <w:rPr/>
        <w:t xml:space="preserve">TypeScript AST analizė aptiko 22 produkcinius TS failus, 17 klasių, 93 statinius importus, 31 vidinę importo briauną ir 62 išorinių paketų importų įrašus. Fizinė TS apimtis – 1815 eilučių. BibliotekaPuslapis klasė apima 284 eilutes ir 24 metodus / konstruktorių / prieigos deklaracijas. EpubReaderComponent – 229 eilutes. Daugiausia vidinių išėjimo priklausomybių turi </w:t>
      </w:r>
      <w:r>
        <w:rPr>
          <w:sz w:val="20"/>
        </w:rPr>
        <w:t>app.routes.ts</w:t>
      </w:r>
      <w:r>
        <w:rPr/>
        <w:t>: fan-out 6. Daugiausia įėjimo priklausomybių turi AuthService: fan-in 4.</w:t>
      </w:r>
    </w:p>
    <w:p>
      <w:pPr>
        <w:pStyle w:val="Normal"/>
        <w:rPr/>
      </w:pPr>
      <w:r>
        <w:rPr/>
        <w:t>Maršrutų didesnis fan-out yra tikėtinas surinkimo taške, todėl tai nėra automatinė architektūros klaida. Bibliotekos komponentas jungia paiešką, filtravimą, EPUB įkėlimą ir pažangą; jo dydis ir keturios vidinės priklausomybės leidžia svarstyti atsakomybių ribų išgryninimą. AuthService fan-in rodo reikalingą bendrą autentifikavimo funkciją; jos skaidymas vien siekiant mažesnio skaičiaus galėtų pabloginti DRY.</w:t>
      </w:r>
    </w:p>
    <w:p>
      <w:pPr>
        <w:pStyle w:val="Heading2"/>
        <w:rPr/>
      </w:pPr>
      <w:bookmarkStart w:id="22" w:name="__RefHeading___Toc4360_3682259208"/>
      <w:bookmarkEnd w:id="22"/>
      <w:r>
        <w:rPr/>
        <w:t>5.5. Cohesion ir coupling interpretacija</w:t>
      </w:r>
    </w:p>
    <w:p>
      <w:pPr>
        <w:pStyle w:val="Normal"/>
        <w:rPr/>
      </w:pPr>
      <w:r>
        <w:rPr/>
        <w:t>Funkcinės serverio sritys atskirtos paketais, valdikliai nepakeičia saugyklų, o paslaugos išlaiko atskirą vietą verslo taisyklėms – tai struktūros stiprybė. StatsService jungia kelias kalendoriaus grupavimo ir pažangos agregavimo taisykles; jų atskyrimas galėtų pagerinti vietinį sąryšį. LibraryService bibliotekos, failų ir pažangos įrašų atsakomybės kertasi; EPUB adapteris leistų tikrinti verslo logiką nepriklausomai nuo tikro disko.</w:t>
      </w:r>
    </w:p>
    <w:p>
      <w:pPr>
        <w:pStyle w:val="Normal"/>
        <w:rPr/>
      </w:pPr>
      <w:r>
        <w:rPr/>
        <w:t>Coupling nėra vien importai: realių Spring bean ryšių, SQL schemos, HTTP kontraktų, naršyklės saugyklų ir išorinių paslaugų visa ši statinė grafo analizė neapima. Neapskaičiuotas LCOM nevadinamas įrodytu sąryšio indeksu. Čia pateikta kokybinė cohesion analizė remiasi konkrečiai perskaitytomis atsakomybėmis ir jų priklausomybėmis.</w:t>
      </w:r>
    </w:p>
    <w:p>
      <w:pPr>
        <w:pStyle w:val="Heading1"/>
        <w:rPr/>
      </w:pPr>
      <w:bookmarkStart w:id="23" w:name="__RefHeading___Toc4362_3682259208"/>
      <w:bookmarkEnd w:id="23"/>
      <w:r>
        <w:rPr/>
        <w:t>6. Statinės analizės rezultatai ir šešios skirtingos problemos</w:t>
      </w:r>
    </w:p>
    <w:p>
      <w:pPr>
        <w:pStyle w:val="Heading2"/>
        <w:rPr/>
      </w:pPr>
      <w:bookmarkStart w:id="24" w:name="__RefHeading___Toc4364_3682259208"/>
      <w:bookmarkEnd w:id="24"/>
      <w:r>
        <w:rPr/>
        <w:t>6.1. Bendri rezultatai ir jų ribos</w:t>
      </w:r>
    </w:p>
    <w:p>
      <w:pPr>
        <w:pStyle w:val="Normal"/>
        <w:rPr/>
      </w:pPr>
      <w:r>
        <w:rPr/>
        <w:t>Pritaikyti bent du skirtingi analizatoriai: vietinis SonarQube ir įprastas projekto ESLint. Papildomai vykdyta TypeScript statinė tipų patikra. SonarQube pateikė 85 unikalius radinius, 0,9 % dubliavimo ir visos skenuotos apimties kompleksijos agregatus CC 521 bei kognityvinį 203. ESLint nustatė 29 klaidas ir 10 perspėjimų, TypeScript app / spec patikros baigėsi be klaidų. Žemiau parinktos šešios skirtingų taisyklių problemos, o ne šeši to paties trūkumo pasikartojimai.</w:t>
      </w:r>
    </w:p>
    <w:p>
      <w:pPr>
        <w:pStyle w:val="Normal"/>
        <w:rPr/>
      </w:pPr>
      <w:r>
        <w:rPr/>
        <w:t>Skenavimo išraše liko perspėjimų apie neišspręstus Java tipus / importus ir preview konstrukcijas. Projekto Java kompiliavimas atliktas sėkmingai, tačiau tai nėra visos analizatoriaus semantinės informacijos pilnumo įrodymas. Šis ribotumas išlaikomas; nevadinama pilna statinio saugumo audito garantija.</w:t>
      </w:r>
    </w:p>
    <w:p>
      <w:pPr>
        <w:pStyle w:val="Normal"/>
        <w:rPr/>
      </w:pPr>
      <w:r>
        <w:rPr/>
        <w:t xml:space="preserve">Po pakartotinio nepakitusio kodo skenavimo vartai rodo OK: vertinama </w:t>
      </w:r>
      <w:r>
        <w:rPr>
          <w:sz w:val="20"/>
        </w:rPr>
        <w:t>new_violations</w:t>
      </w:r>
      <w:r>
        <w:rPr/>
        <w:t xml:space="preserve"> sąlyga, kurios faktinė reikšmė 0 ir slenkstis 0. Tai yra naujo kodo sąlyga, o ne visų esamų 85 radinių ar senam kodui taikomų saugumo reikalavimų išlaikymo įrodymas. Todėl vartų OK neprieštarauja esamiems saugumo ir patikimumo D įverčiams. API coverage 0,0 % gautas nepateikus coverage ataskaitos; tai nėra įrodytas nulinis esamų testų padengimas. Testų vykdymo ataskaitos ir padengimo ataskaitos nėra tas pats. Community Build turi ribotą saugumo analizę; neaptiktas SQL injection ar XSS nėra jų nebuvimo įrodymas.</w:t>
      </w:r>
    </w:p>
    <w:p>
      <w:pPr>
        <w:pStyle w:val="Heading2"/>
        <w:rPr/>
      </w:pPr>
      <w:bookmarkStart w:id="25" w:name="__RefHeading___Toc4366_3682259208"/>
      <w:bookmarkEnd w:id="25"/>
      <w:r>
        <w:rPr/>
        <w:t>6.2. P1 – netinkama slaptažodžių saugojimo priemonė</w:t>
      </w:r>
    </w:p>
    <w:p>
      <w:pPr>
        <w:pStyle w:val="Normal"/>
        <w:rPr/>
      </w:pPr>
      <w:r>
        <w:rPr/>
        <w:t xml:space="preserve">Vieta: serverio </w:t>
      </w:r>
      <w:r>
        <w:rPr>
          <w:sz w:val="20"/>
        </w:rPr>
        <w:t>shared/config/SecurityConfig.java:48</w:t>
      </w:r>
      <w:r>
        <w:rPr/>
        <w:t xml:space="preserve">. Sonar taisyklė </w:t>
      </w:r>
      <w:r>
        <w:rPr>
          <w:sz w:val="20"/>
        </w:rPr>
        <w:t>java:S4790</w:t>
      </w:r>
      <w:r>
        <w:rPr/>
        <w:t xml:space="preserve">, saugumo poveikis HIGH. </w:t>
      </w:r>
      <w:r>
        <w:rPr>
          <w:sz w:val="20"/>
        </w:rPr>
        <w:t>NoOpPasswordEncoder.getInstance()</w:t>
      </w:r>
      <w:r>
        <w:rPr/>
        <w:t xml:space="preserve"> nėra saugus vienkryptis slaptažodžių maišos algoritmas. Autentifikavimo sluoksnio kontekstas daro šį radinį svarbų; nekeičiamas į tariamą patvirtintą paskyrų užvaldymo eksperimentą.</w:t>
      </w:r>
    </w:p>
    <w:p>
      <w:pPr>
        <w:pStyle w:val="Normal"/>
        <w:rPr/>
      </w:pPr>
      <w:r>
        <w:rPr/>
        <w:t>Taisymas: naudoti palaikomą adaptuojamą kodavimo priemonę, pavyzdžiui BCrypt ar DelegatingPasswordEncoder, ir aiškiai suplanuoti jau esančių slaptažodžių migraciją / atstatymą. Negalima tik pakeisti bean ir pamiršti senų įrašų formą. Patikra: naujos registracijos reikšmė nesutampa su įvestu slaptažodžiu; teisingas prisijungimas pavyksta, neteisingas atmetamas; migravimo kelias testuojamas atskirai. Pataisymas šiame darbe neįgyvendintas.</w:t>
      </w:r>
    </w:p>
    <w:p>
      <w:pPr>
        <w:pStyle w:val="Heading2"/>
        <w:rPr/>
      </w:pPr>
      <w:bookmarkStart w:id="26" w:name="__RefHeading___Toc4368_3682259208"/>
      <w:bookmarkEnd w:id="26"/>
      <w:r>
        <w:rPr/>
        <w:t>6.3. P2 – CSRF apsauga išjungta sesijos sistemoje</w:t>
      </w:r>
    </w:p>
    <w:p>
      <w:pPr>
        <w:pStyle w:val="Normal"/>
        <w:rPr/>
      </w:pPr>
      <w:r>
        <w:rPr/>
        <w:t xml:space="preserve">Vieta: </w:t>
      </w:r>
      <w:r>
        <w:rPr>
          <w:sz w:val="20"/>
        </w:rPr>
        <w:t>shared/config/SecurityConfig.java:24</w:t>
      </w:r>
      <w:r>
        <w:rPr/>
        <w:t xml:space="preserve">. Taisyklė </w:t>
      </w:r>
      <w:r>
        <w:rPr>
          <w:sz w:val="20"/>
        </w:rPr>
        <w:t>java:S4502</w:t>
      </w:r>
      <w:r>
        <w:rPr/>
        <w:t xml:space="preserve">, saugumo poveikis HIGH. </w:t>
      </w:r>
      <w:r>
        <w:rPr>
          <w:sz w:val="20"/>
        </w:rPr>
        <w:t>.csrf(csrf -&gt; csrf.disable())</w:t>
      </w:r>
      <w:r>
        <w:rPr/>
        <w:t xml:space="preserve"> išjungia apsaugą, nors prisijungimas grindžiamas naršyklės slapuku. Tokiai būseną keičiančiai API reikia aiškaus CSRF grėsmės modelio; vien CORS ar SameSite nėra bendras pakaitalas. Tai kontekstinė saugumo rizika, o ne šiame darbe pademonstruotas išnaudojimas.</w:t>
      </w:r>
    </w:p>
    <w:p>
      <w:pPr>
        <w:pStyle w:val="Normal"/>
        <w:rPr/>
      </w:pPr>
      <w:r>
        <w:rPr/>
        <w:t>Taisymas: suderinti Spring Security CSRF žetono tiekimą ir Angular žetono perdavimą; aiškiai apibrėžti prisijungimo, registravimo ir kitų endpoint išimtis. Patikra: autentifikuotas pakeitimas be žetono atmetamas, su tinkamu žetonu pavyksta; tikrinami sesijos ir CORS scenarijai. Pataisymas gali pakeisti išlaikyto HTTP smoke scenarijaus užklausas, todėl jos turi būti atnaujintos sąmoningai.</w:t>
      </w:r>
    </w:p>
    <w:p>
      <w:pPr>
        <w:pStyle w:val="Heading2"/>
        <w:rPr/>
      </w:pPr>
      <w:bookmarkStart w:id="27" w:name="__RefHeading___Toc4370_3682259208"/>
      <w:bookmarkEnd w:id="27"/>
      <w:r>
        <w:rPr/>
        <w:t>6.4. P3 – įdėtas statistikos grupavimo valdymo srautas</w:t>
      </w:r>
    </w:p>
    <w:p>
      <w:pPr>
        <w:pStyle w:val="Normal"/>
        <w:rPr/>
      </w:pPr>
      <w:r>
        <w:rPr/>
        <w:t xml:space="preserve">Vieta: </w:t>
      </w:r>
      <w:r>
        <w:rPr>
          <w:sz w:val="20"/>
        </w:rPr>
        <w:t>stats/service/StatsService.java:179</w:t>
      </w:r>
      <w:r>
        <w:rPr/>
        <w:t xml:space="preserve">, metodas </w:t>
      </w:r>
      <w:r>
        <w:rPr>
          <w:sz w:val="20"/>
        </w:rPr>
        <w:t>buildDataPointsForRange</w:t>
      </w:r>
      <w:r>
        <w:rPr/>
        <w:t xml:space="preserve">. Taisyklė </w:t>
      </w:r>
      <w:r>
        <w:rPr>
          <w:sz w:val="20"/>
        </w:rPr>
        <w:t>java:S3776</w:t>
      </w:r>
      <w:r>
        <w:rPr/>
        <w:t>; faktinis kognityvinis balas 22, slenkstis 15. Šakos, ciklai ir kalendoriaus grupavimo pasirinkimas sunkina pakeitimų peržiūrą bei scenarijų išvardijimą.</w:t>
      </w:r>
    </w:p>
    <w:p>
      <w:pPr>
        <w:pStyle w:val="Normal"/>
        <w:rPr/>
      </w:pPr>
      <w:r>
        <w:rPr/>
        <w:t>Taisymas: atskirti duomenų filtravimo / pažangos skirtumų agregavimą nuo laiko krepšelių formavimo ir aiškiai apibrėžti savaitės bei mėnesio ribas. Prieš skaidant užfiksuoti dabartinius rezultatus parametruotais testais. Patikra: day / week / month, tušti duomenys ir ribinės datos duoda tuos pačius sutartus rezultatus; perleistas analizatorius parodo konkrečias naujas reikšmes. Kol pakeitimo nėra, naujas balas nespėjamas.</w:t>
      </w:r>
    </w:p>
    <w:p>
      <w:pPr>
        <w:pStyle w:val="Heading2"/>
        <w:rPr/>
      </w:pPr>
      <w:bookmarkStart w:id="28" w:name="__RefHeading___Toc4372_3682259208"/>
      <w:bookmarkEnd w:id="28"/>
      <w:r>
        <w:rPr/>
        <w:t>6.5. P4 – paieškos įvedimas be aiškaus label ryšio</w:t>
      </w:r>
    </w:p>
    <w:p>
      <w:pPr>
        <w:pStyle w:val="Normal"/>
        <w:rPr/>
      </w:pPr>
      <w:r>
        <w:rPr/>
        <w:t xml:space="preserve">Vieta: kliento </w:t>
      </w:r>
      <w:r>
        <w:rPr>
          <w:sz w:val="20"/>
        </w:rPr>
        <w:t>pages/biblioteka/biblioteka.component.html:22</w:t>
      </w:r>
      <w:r>
        <w:rPr/>
        <w:t xml:space="preserve">. Sonar taisyklė </w:t>
      </w:r>
      <w:r>
        <w:rPr>
          <w:sz w:val="20"/>
        </w:rPr>
        <w:t>Web:InputWithoutLabelCheck</w:t>
      </w:r>
      <w:r>
        <w:rPr/>
        <w:t>, patikimumo poveikis MEDIUM. Placeholder nepakeičia prieinamo laukelio pavadinimo; praradus tekstinę užuominą arba naudojant pagalbinę technologiją funkcija gali būti neaiški.</w:t>
      </w:r>
    </w:p>
    <w:p>
      <w:pPr>
        <w:pStyle w:val="Normal"/>
        <w:rPr/>
      </w:pPr>
      <w:r>
        <w:rPr/>
        <w:t xml:space="preserve">Taisymas: pridėti unikalų input </w:t>
      </w:r>
      <w:r>
        <w:rPr>
          <w:sz w:val="20"/>
        </w:rPr>
        <w:t>id</w:t>
      </w:r>
      <w:r>
        <w:rPr/>
        <w:t xml:space="preserve"> ir susietą </w:t>
      </w:r>
      <w:r>
        <w:rPr>
          <w:sz w:val="20"/>
        </w:rPr>
        <w:t>label for</w:t>
      </w:r>
      <w:r>
        <w:rPr/>
        <w:t>, prireikus vizualiai paslėptą, bet prieinamą pagalbinei technologijai. Patikra: naršyklės accessibility medis turi teisingą laukelio vardą, paspaudus label sufokusuojamas input, Sonar taisyklė nebeaptinka šios vietos. Visa svetainė dėl vieno pataisymo nelaikoma WCAG atitinkančia.</w:t>
      </w:r>
    </w:p>
    <w:p>
      <w:pPr>
        <w:pStyle w:val="Heading2"/>
        <w:rPr/>
      </w:pPr>
      <w:bookmarkStart w:id="29" w:name="__RefHeading___Toc4374_3682259208"/>
      <w:bookmarkEnd w:id="29"/>
      <w:r>
        <w:rPr/>
        <w:t>6.6. P5 – bibliotekos filtras valdomas tik paspaudimu</w:t>
      </w:r>
    </w:p>
    <w:p>
      <w:pPr>
        <w:pStyle w:val="Normal"/>
        <w:rPr/>
      </w:pPr>
      <w:r>
        <w:rPr/>
        <w:t xml:space="preserve">Vieta: </w:t>
      </w:r>
      <w:r>
        <w:rPr>
          <w:sz w:val="20"/>
        </w:rPr>
        <w:t>pages/biblioteka/biblioteka.component.html:42</w:t>
      </w:r>
      <w:r>
        <w:rPr/>
        <w:t xml:space="preserve">. Taisyklė </w:t>
      </w:r>
      <w:r>
        <w:rPr>
          <w:sz w:val="20"/>
        </w:rPr>
        <w:t>Web:MouseEventWithoutKeyboardEquivalentCheck</w:t>
      </w:r>
      <w:r>
        <w:rPr/>
        <w:t xml:space="preserve">. </w:t>
      </w:r>
      <w:r>
        <w:rPr>
          <w:sz w:val="20"/>
        </w:rPr>
        <w:t>li</w:t>
      </w:r>
      <w:r>
        <w:rPr/>
        <w:t xml:space="preserve"> su </w:t>
      </w:r>
      <w:r>
        <w:rPr>
          <w:sz w:val="20"/>
        </w:rPr>
        <w:t>(click)</w:t>
      </w:r>
      <w:r>
        <w:rPr/>
        <w:t xml:space="preserve"> automatiškai netampa klaviatūra pasiekiamu mygtuku. Galimas poveikis – dalis naudotojų negali pasirinkti filtro be pelės.</w:t>
      </w:r>
    </w:p>
    <w:p>
      <w:pPr>
        <w:pStyle w:val="Normal"/>
        <w:rPr/>
      </w:pPr>
      <w:r>
        <w:rPr/>
        <w:t xml:space="preserve">Taisymas: sąrašo elemente naudoti semantinį </w:t>
      </w:r>
      <w:r>
        <w:rPr>
          <w:sz w:val="20"/>
        </w:rPr>
        <w:t>button</w:t>
      </w:r>
      <w:r>
        <w:rPr/>
        <w:t>, kuris turi fokusą ir Enter / Space elgesį, išsaugant pasirinkimo būseną prieinamu atributu. Vien tuščios keydown funkcijos pridėjimas tik perspėjimui panaikinti problemos neišsprendžia. Patikra: filtras pasiekiamas Tab ir veikia Enter / Space, matomas fokusas, būsena keičiasi; pakartotinis analizatorius naudojamas kaip papildoma, ne vienintelė patikra.</w:t>
      </w:r>
    </w:p>
    <w:p>
      <w:pPr>
        <w:pStyle w:val="Heading2"/>
        <w:rPr/>
      </w:pPr>
      <w:bookmarkStart w:id="30" w:name="__RefHeading___Toc4376_3682259208"/>
      <w:bookmarkEnd w:id="30"/>
      <w:r>
        <w:rPr/>
        <w:t>6.7. P6 – int operacija prieš long konversiją</w:t>
      </w:r>
    </w:p>
    <w:p>
      <w:pPr>
        <w:pStyle w:val="Normal"/>
        <w:rPr/>
      </w:pPr>
      <w:r>
        <w:rPr/>
        <w:t xml:space="preserve">Vieta: </w:t>
      </w:r>
      <w:r>
        <w:rPr>
          <w:sz w:val="20"/>
        </w:rPr>
        <w:t>stats/service/StatsService.java:78</w:t>
      </w:r>
      <w:r>
        <w:rPr/>
        <w:t xml:space="preserve">, </w:t>
      </w:r>
      <w:r>
        <w:rPr>
          <w:sz w:val="20"/>
        </w:rPr>
        <w:t>rangeEnd.minusDays(days - 1)</w:t>
      </w:r>
      <w:r>
        <w:rPr/>
        <w:t xml:space="preserve">. Taisyklė </w:t>
      </w:r>
      <w:r>
        <w:rPr>
          <w:sz w:val="20"/>
        </w:rPr>
        <w:t>java:S2184</w:t>
      </w:r>
      <w:r>
        <w:rPr/>
        <w:t xml:space="preserve">, žemas patikimumo poveikis. Atimtis pirmiausia vyksta </w:t>
      </w:r>
      <w:r>
        <w:rPr>
          <w:sz w:val="20"/>
        </w:rPr>
        <w:t>int</w:t>
      </w:r>
      <w:r>
        <w:rPr/>
        <w:t xml:space="preserve">, nors </w:t>
      </w:r>
      <w:r>
        <w:rPr>
          <w:sz w:val="20"/>
        </w:rPr>
        <w:t>minusDays</w:t>
      </w:r>
      <w:r>
        <w:rPr/>
        <w:t xml:space="preserve"> priima </w:t>
      </w:r>
      <w:r>
        <w:rPr>
          <w:sz w:val="20"/>
        </w:rPr>
        <w:t>long</w:t>
      </w:r>
      <w:r>
        <w:rPr/>
        <w:t xml:space="preserve">. Kraštinėje reikšmėje </w:t>
      </w:r>
      <w:r>
        <w:rPr>
          <w:sz w:val="20"/>
        </w:rPr>
        <w:t>days = Integer.MIN_VALUE</w:t>
      </w:r>
      <w:r>
        <w:rPr/>
        <w:t xml:space="preserve"> atsiranda int perpildymas prieš išplėtimą. Tai ribinės įvesties problema, ne teiginys, kad įprastas septynių dienų vaizdas klaidingas.</w:t>
      </w:r>
    </w:p>
    <w:p>
      <w:pPr>
        <w:pStyle w:val="Normal"/>
        <w:rPr/>
      </w:pPr>
      <w:r>
        <w:rPr/>
        <w:t xml:space="preserve">Taisymas: patikrinti prasmingą teigiamą dienų intervalo ribą ir, atimant, naudoti </w:t>
      </w:r>
      <w:r>
        <w:rPr>
          <w:sz w:val="20"/>
        </w:rPr>
        <w:t>days - 1L</w:t>
      </w:r>
      <w:r>
        <w:rPr/>
        <w:t xml:space="preserve">. Patikra: Java išraiškos kontrolinis paleidimas išsaugotas </w:t>
      </w:r>
      <w:r>
        <w:rPr>
          <w:sz w:val="20"/>
        </w:rPr>
        <w:t>analysis/sonarqube/arithmetic-check.log</w:t>
      </w:r>
      <w:r>
        <w:rPr/>
        <w:t>; atskiri endpoint testai turi atmesti nulį, neigiamą ir nepagrįstai didelį intervalą. Šiame darbe patikrinta išraiška, ne atliktas HTTP išnaudojimas. Taisymas mažas, tačiau atsakomybė už įvesties kontraktą svarbesnė už vien cast panaikinimą.</w:t>
      </w:r>
    </w:p>
    <w:p>
      <w:pPr>
        <w:pStyle w:val="Heading1"/>
        <w:rPr/>
      </w:pPr>
      <w:bookmarkStart w:id="31" w:name="__RefHeading___Toc4378_3682259208"/>
      <w:bookmarkEnd w:id="31"/>
      <w:r>
        <w:rPr/>
        <w:t>7. Dviejų komandos narių kodo peržiūra</w:t>
      </w:r>
    </w:p>
    <w:p>
      <w:pPr>
        <w:pStyle w:val="Heading2"/>
        <w:rPr/>
      </w:pPr>
      <w:bookmarkStart w:id="32" w:name="__RefHeading___Toc4380_3682259208"/>
      <w:bookmarkEnd w:id="32"/>
      <w:r>
        <w:rPr/>
        <w:t>7.1. Pirmasis fragmentas: LibraryService</w:t>
      </w:r>
    </w:p>
    <w:p>
      <w:pPr>
        <w:pStyle w:val="Normal"/>
        <w:rPr/>
      </w:pPr>
      <w:r>
        <w:rPr/>
        <w:t xml:space="preserve">Peržiūros vykdytojas: pirmasis komandos narys, vardą ir pavardę įrašyti po savarankiškos patikros. Fragmentas: </w:t>
      </w:r>
      <w:r>
        <w:rPr>
          <w:sz w:val="20"/>
        </w:rPr>
        <w:t>knygnesys-app/src/main/java/lt/prifkodas/knygnesys/readinglist/service/LibraryService.java</w:t>
      </w:r>
      <w:r>
        <w:rPr/>
        <w:t xml:space="preserve">, ypač </w:t>
      </w:r>
      <w:r>
        <w:rPr>
          <w:sz w:val="20"/>
        </w:rPr>
        <w:t>uploadEpub</w:t>
      </w:r>
      <w:r>
        <w:rPr/>
        <w:t xml:space="preserve"> (86–104 eil.), </w:t>
      </w:r>
      <w:r>
        <w:rPr>
          <w:sz w:val="20"/>
        </w:rPr>
        <w:t>removeBook</w:t>
      </w:r>
      <w:r>
        <w:rPr/>
        <w:t xml:space="preserve"> (118–128 eil.) ir </w:t>
      </w:r>
      <w:r>
        <w:rPr>
          <w:sz w:val="20"/>
        </w:rPr>
        <w:t>updateProgress</w:t>
      </w:r>
      <w:r>
        <w:rPr/>
        <w:t xml:space="preserve"> (130–144 eil.). Tikrinti ir </w:t>
      </w:r>
      <w:r>
        <w:rPr>
          <w:sz w:val="20"/>
        </w:rPr>
        <w:t>LibraryController</w:t>
      </w:r>
      <w:r>
        <w:rPr/>
        <w:t xml:space="preserve"> kvietimus bei </w:t>
      </w:r>
      <w:r>
        <w:rPr>
          <w:sz w:val="20"/>
        </w:rPr>
        <w:t>UpdateProgressRequest</w:t>
      </w:r>
      <w:r>
        <w:rPr/>
        <w:t xml:space="preserve"> lauką. Ši paslauga jungia bibliotekos būsenas, duomenų saugyklas ir failų sistemą.</w:t>
      </w:r>
    </w:p>
    <w:p>
      <w:pPr>
        <w:pStyle w:val="Normal"/>
        <w:rPr/>
      </w:pPr>
      <w:r>
        <w:rPr>
          <w:b/>
        </w:rPr>
        <w:t>Pasiūlymas A1 – serverio pažangos invariantai.</w:t>
      </w:r>
      <w:r>
        <w:rPr/>
        <w:t xml:space="preserve"> </w:t>
      </w:r>
      <w:r>
        <w:rPr>
          <w:sz w:val="20"/>
        </w:rPr>
        <w:t>updateProgress</w:t>
      </w:r>
      <w:r>
        <w:rPr/>
        <w:t xml:space="preserve"> tiesiogiai priskiria perduotą </w:t>
      </w:r>
      <w:r>
        <w:rPr>
          <w:sz w:val="20"/>
        </w:rPr>
        <w:t>currentPage</w:t>
      </w:r>
      <w:r>
        <w:rPr/>
        <w:t xml:space="preserve">. Metode nėra neigiamos pažangos atmetimo ir nėra viršutinės ribos tikrinimo prieš priskyrimą. Kliento pusėje </w:t>
      </w:r>
      <w:r>
        <w:rPr>
          <w:sz w:val="20"/>
        </w:rPr>
        <w:t>changeCurrentPage</w:t>
      </w:r>
      <w:r>
        <w:rPr/>
        <w:t xml:space="preserve"> ir </w:t>
      </w:r>
      <w:r>
        <w:rPr>
          <w:sz w:val="20"/>
        </w:rPr>
        <w:t>setCurrentPage</w:t>
      </w:r>
      <w:r>
        <w:rPr/>
        <w:t xml:space="preserve"> taiko ribojimą, bet tiesioginė HTTP užklausa gali apeiti kliento logiką. Siūloma aiškiai nustatyti kontraktą: neigiamą reikšmę atmesti, o kai žinomas puslapių skaičius – viršijančią reikšmę atmesti arba riboti pagal suderintą taisyklę. Tai gali padidinti ciklomatinį sudėtingumą, tačiau pagerinti korektiškumą. Patikra: neigiama reikšmė, nulis, tarpinė reikšmė, tiksliai paskutinis puslapis, viršijimas ir nežinomas knygos ilgis. Šis pasiūlymas remiasi rankine kodo peržiūra; nevadinamas PMD automatiškai aptikta verslo klaida.</w:t>
      </w:r>
    </w:p>
    <w:p>
      <w:pPr>
        <w:pStyle w:val="Normal"/>
        <w:rPr/>
      </w:pPr>
      <w:r>
        <w:rPr>
          <w:b/>
        </w:rPr>
        <w:t>Pasiūlymas A2 – saugi EPUB pakeitimo seka.</w:t>
      </w:r>
      <w:r>
        <w:rPr/>
        <w:t xml:space="preserve"> </w:t>
      </w:r>
      <w:r>
        <w:rPr>
          <w:sz w:val="20"/>
        </w:rPr>
        <w:t>uploadEpub</w:t>
      </w:r>
      <w:r>
        <w:rPr/>
        <w:t xml:space="preserve"> pirma pašalina ankstesnį failą (97–99 eil.), tada rašo naują (101 eil.). Jei naujo failo įrašymas nepavyksta, senasis jau gali būti prarastas. Siūloma pirmiausia įrašyti naują failą į laikiną vietą, patikrinti sėkmę, sutvarkyti duomenų bazės nuorodą ir tik tada šalinti seną failą; klaidų atveju numatyti kompensavimo veiksmus. Vien duomenų bazės transakcija failų sistemos veiksmų nepadaro atominių. Taikomas atsakomybių atskyrimas ir aiškus resurso gyvavimo ciklas. Patikra: simuliuoti failo įrašymo bei saugyklos </w:t>
      </w:r>
      <w:r>
        <w:rPr>
          <w:sz w:val="20"/>
        </w:rPr>
        <w:t>save</w:t>
      </w:r>
      <w:r>
        <w:rPr/>
        <w:t xml:space="preserve"> nesėkmes ir tikrinti, kad seną failą vis dar galima gauti.</w:t>
      </w:r>
    </w:p>
    <w:p>
      <w:pPr>
        <w:pStyle w:val="Normal"/>
        <w:rPr/>
      </w:pPr>
      <w:r>
        <w:rPr>
          <w:b/>
        </w:rPr>
        <w:t>Pasiūlymas A3 – saugyklos ir būsenos testavimo ribos.</w:t>
      </w:r>
      <w:r>
        <w:rPr/>
        <w:t xml:space="preserve"> </w:t>
      </w:r>
      <w:r>
        <w:rPr>
          <w:sz w:val="20"/>
        </w:rPr>
        <w:t>uploadEpub</w:t>
      </w:r>
      <w:r>
        <w:rPr/>
        <w:t xml:space="preserve">, </w:t>
      </w:r>
      <w:r>
        <w:rPr>
          <w:sz w:val="20"/>
        </w:rPr>
        <w:t>getEpub</w:t>
      </w:r>
      <w:r>
        <w:rPr/>
        <w:t xml:space="preserve"> ir </w:t>
      </w:r>
      <w:r>
        <w:rPr>
          <w:sz w:val="20"/>
        </w:rPr>
        <w:t>removeBook</w:t>
      </w:r>
      <w:r>
        <w:rPr/>
        <w:t xml:space="preserve"> tiesiogiai naudoja </w:t>
      </w:r>
      <w:r>
        <w:rPr>
          <w:sz w:val="20"/>
        </w:rPr>
        <w:t>Files</w:t>
      </w:r>
      <w:r>
        <w:rPr/>
        <w:t xml:space="preserve"> ir </w:t>
      </w:r>
      <w:r>
        <w:rPr>
          <w:sz w:val="20"/>
        </w:rPr>
        <w:t>Paths</w:t>
      </w:r>
      <w:r>
        <w:rPr/>
        <w:t xml:space="preserve">, o pažangos metodas rašo į dvi skirtingas saugyklas. Siūloma minimaliai išskirti EPUB saugyklos adapterį, kurį galima pakeisti testų pakaitalu, ir apibrėžti transakcijos ribą tarp </w:t>
      </w:r>
      <w:r>
        <w:rPr>
          <w:sz w:val="20"/>
        </w:rPr>
        <w:t>readingListRepository.save</w:t>
      </w:r>
      <w:r>
        <w:rPr/>
        <w:t xml:space="preserve"> ir </w:t>
      </w:r>
      <w:r>
        <w:rPr>
          <w:sz w:val="20"/>
        </w:rPr>
        <w:t>readingProgressRepository.save</w:t>
      </w:r>
      <w:r>
        <w:rPr/>
        <w:t>. Taikomas separation of concerns ir testuojamumas, o ne abstrakcijų kūrimas vien dėl SOLID pavadinimo. Atsiradęs adapteris gali padidinti klasių skaičių, bet sumažinti verslo paslaugos priklausomybę nuo disko. Patikra: saugyklos klaida neturi palikti vieno atnaujinto ir kito neatnaujinto duomenų įrašo.</w:t>
      </w:r>
    </w:p>
    <w:p>
      <w:pPr>
        <w:pStyle w:val="Normal"/>
        <w:rPr/>
      </w:pPr>
      <w:r>
        <w:rPr>
          <w:b/>
        </w:rPr>
        <w:t>Pasiūlymas A4 – aiški baigimo datos taisyklė.</w:t>
      </w:r>
      <w:r>
        <w:rPr/>
        <w:t xml:space="preserve"> </w:t>
      </w:r>
      <w:r>
        <w:rPr>
          <w:sz w:val="20"/>
        </w:rPr>
        <w:t>updateProgress</w:t>
      </w:r>
      <w:r>
        <w:rPr/>
        <w:t xml:space="preserve"> kiekvieną kartą gavęs pasiektą paskutinį puslapį priskiria </w:t>
      </w:r>
      <w:r>
        <w:rPr>
          <w:sz w:val="20"/>
        </w:rPr>
        <w:t>LocalDateTime.now()</w:t>
      </w:r>
      <w:r>
        <w:rPr/>
        <w:t xml:space="preserve">; mažinant pažangą jau baigtam įrašui nėra atskiros baigimo atšaukimo šakos. Siūloma sutarti, ar pirma baigimo data išsaugoma, ar leidžiama pakartotinai baigti knygą ir kaip atnaujinamas </w:t>
      </w:r>
      <w:r>
        <w:rPr>
          <w:sz w:val="20"/>
        </w:rPr>
        <w:t>completedAt</w:t>
      </w:r>
      <w:r>
        <w:rPr/>
        <w:t xml:space="preserve">. Laiką perduoti per </w:t>
      </w:r>
      <w:r>
        <w:rPr>
          <w:sz w:val="20"/>
        </w:rPr>
        <w:t>Clock</w:t>
      </w:r>
      <w:r>
        <w:rPr/>
        <w:t xml:space="preserve"> ar mažą laiko tiekimo funkciją, kad testai būtų deterministiniai. Tai pagerintų atsakomybių aiškumą ir testuojamumą; gali nekeisti statinio analizatoriaus perspėjimų skaičiaus. Patikra: baigimas, pakartotinis baigimo atnaujinimas ir grįžimas į mažesnę pažangą su fiksuotu laiku.</w:t>
      </w:r>
    </w:p>
    <w:p>
      <w:pPr>
        <w:pStyle w:val="Heading2"/>
        <w:rPr/>
      </w:pPr>
      <w:bookmarkStart w:id="33" w:name="__RefHeading___Toc4382_3682259208"/>
      <w:bookmarkEnd w:id="33"/>
      <w:r>
        <w:rPr/>
        <w:t>7.2. Antrasis fragmentas: EpubReaderComponent</w:t>
      </w:r>
    </w:p>
    <w:p>
      <w:pPr>
        <w:pStyle w:val="Normal"/>
        <w:rPr/>
      </w:pPr>
      <w:r>
        <w:rPr/>
        <w:t xml:space="preserve">Peržiūros vykdytojas: antrasis komandos narys, vardą ir pavardę įrašyti po savarankiškos patikros. Fragmentas: </w:t>
      </w:r>
      <w:r>
        <w:rPr>
          <w:sz w:val="20"/>
        </w:rPr>
        <w:t>knygnesys-ui/src/app/pages/epub-reader/epub-reader.component.ts</w:t>
      </w:r>
      <w:r>
        <w:rPr/>
        <w:t xml:space="preserve">, ypač </w:t>
      </w:r>
      <w:r>
        <w:rPr>
          <w:sz w:val="20"/>
        </w:rPr>
        <w:t>loadEpub</w:t>
      </w:r>
      <w:r>
        <w:rPr/>
        <w:t xml:space="preserve"> (65–130 eil.), </w:t>
      </w:r>
      <w:r>
        <w:rPr>
          <w:sz w:val="20"/>
        </w:rPr>
        <w:t>loadSettings</w:t>
      </w:r>
      <w:r>
        <w:rPr/>
        <w:t xml:space="preserve"> (202–208 eil.), </w:t>
      </w:r>
      <w:r>
        <w:rPr>
          <w:sz w:val="20"/>
        </w:rPr>
        <w:t>syncProgress</w:t>
      </w:r>
      <w:r>
        <w:rPr/>
        <w:t xml:space="preserve"> (228–236 eil.) ir </w:t>
      </w:r>
      <w:r>
        <w:rPr>
          <w:sz w:val="20"/>
        </w:rPr>
        <w:t>ngOnDestroy</w:t>
      </w:r>
      <w:r>
        <w:rPr/>
        <w:t xml:space="preserve"> (242–247 eil.). Tikrinti ir </w:t>
      </w:r>
      <w:r>
        <w:rPr>
          <w:sz w:val="20"/>
        </w:rPr>
        <w:t>EpubStorageService</w:t>
      </w:r>
      <w:r>
        <w:rPr/>
        <w:t xml:space="preserve"> bei </w:t>
      </w:r>
      <w:r>
        <w:rPr>
          <w:sz w:val="20"/>
        </w:rPr>
        <w:t>LibraryService</w:t>
      </w:r>
      <w:r>
        <w:rPr/>
        <w:t xml:space="preserve"> naudojimą. Šis fragmentas skiriasi nuo pirmojo pagal vykdymo aplinką ir atsakomybės tipą.</w:t>
      </w:r>
    </w:p>
    <w:p>
      <w:pPr>
        <w:pStyle w:val="Normal"/>
        <w:rPr/>
      </w:pPr>
      <w:r>
        <w:rPr>
          <w:b/>
        </w:rPr>
        <w:t>Pasiūlymas B1 – tipizuota skaityklės riba.</w:t>
      </w:r>
      <w:r>
        <w:rPr/>
        <w:t xml:space="preserve"> </w:t>
      </w:r>
      <w:r>
        <w:rPr>
          <w:sz w:val="20"/>
        </w:rPr>
        <w:t>book</w:t>
      </w:r>
      <w:r>
        <w:rPr/>
        <w:t xml:space="preserve">, </w:t>
      </w:r>
      <w:r>
        <w:rPr>
          <w:sz w:val="20"/>
        </w:rPr>
        <w:t>rendition</w:t>
      </w:r>
      <w:r>
        <w:rPr/>
        <w:t xml:space="preserve">, TOC ir vietos argumentas naudoja </w:t>
      </w:r>
      <w:r>
        <w:rPr>
          <w:sz w:val="20"/>
        </w:rPr>
        <w:t>any</w:t>
      </w:r>
      <w:r>
        <w:rPr/>
        <w:t xml:space="preserve">, o dalis ESLint tipų perspėjimų sąmoningai slopinama. Siūloma naudoti faktinius </w:t>
      </w:r>
      <w:r>
        <w:rPr>
          <w:sz w:val="20"/>
        </w:rPr>
        <w:t>epubjs</w:t>
      </w:r>
      <w:r>
        <w:rPr/>
        <w:t xml:space="preserve"> deklaruotus tipus, prieš tai patikrinus įdiegtos versijos eksportus, arba siaurą adapterio sąsają tik šiame komponente naudojamoms operacijoms. Nereikia išgalvoti neegzistuojančių bibliotekos tipų. Tai padėtų kompiliatoriui aptikti blogus API kvietimus; ciklomatinis sudėtingumas gali likti toks pat. Patikra: tipų patikra ir įkėlimas, navigacija, temos keitimas bei sunaikinimas su adapterio testų pakaitalu.</w:t>
      </w:r>
    </w:p>
    <w:p>
      <w:pPr>
        <w:pStyle w:val="Normal"/>
        <w:rPr/>
      </w:pPr>
      <w:r>
        <w:rPr>
          <w:b/>
        </w:rPr>
        <w:t>Pasiūlymas B2 – asinchroninio gyvavimo ciklo apsauga.</w:t>
      </w:r>
      <w:r>
        <w:rPr/>
        <w:t xml:space="preserve"> </w:t>
      </w:r>
      <w:r>
        <w:rPr>
          <w:sz w:val="20"/>
        </w:rPr>
        <w:t>loadEpub</w:t>
      </w:r>
      <w:r>
        <w:rPr/>
        <w:t xml:space="preserve"> atlieka kelias laukiamas asinchronines operacijas. </w:t>
      </w:r>
      <w:r>
        <w:rPr>
          <w:sz w:val="20"/>
        </w:rPr>
        <w:t>ngOnDestroy</w:t>
      </w:r>
      <w:r>
        <w:rPr/>
        <w:t xml:space="preserve"> sunaikina esamus objektus, tačiau nėra aiškios apsaugos, kad vėliau užbaigta įkėlimo operacija nebekurtų objektų ar nebeatnaujintų sunaikinto komponento būsenos. Siūloma naudoti sunaikinimo vėliavą ar tinkamą gyvavimo ciklo signalą ir tikrinti jį po laukimo vietų. Tai yra pagrįsta peržiūros rizika, o ne šiame darbe atkartotas lenktyniavimo gedimas. Patikra: uždaryti komponentą prieš išsprendžiant kontroliuojamą </w:t>
      </w:r>
      <w:r>
        <w:rPr>
          <w:sz w:val="20"/>
        </w:rPr>
        <w:t>book.ready</w:t>
      </w:r>
      <w:r>
        <w:rPr/>
        <w:t xml:space="preserve"> pažadą; tikrinti, kad nebekuriama </w:t>
      </w:r>
      <w:r>
        <w:rPr>
          <w:sz w:val="20"/>
        </w:rPr>
        <w:t>rendition</w:t>
      </w:r>
      <w:r>
        <w:rPr/>
        <w:t xml:space="preserve"> ir nelieka įvykių prenumeratų.</w:t>
      </w:r>
    </w:p>
    <w:p>
      <w:pPr>
        <w:pStyle w:val="Normal"/>
        <w:rPr/>
      </w:pPr>
      <w:r>
        <w:rPr>
          <w:b/>
        </w:rPr>
        <w:t>Pasiūlymas B3 – localStorage duomenų validavimas ir rašymo klaidos.</w:t>
      </w:r>
      <w:r>
        <w:rPr/>
        <w:t xml:space="preserve"> </w:t>
      </w:r>
      <w:r>
        <w:rPr>
          <w:sz w:val="20"/>
        </w:rPr>
        <w:t>loadSettings</w:t>
      </w:r>
      <w:r>
        <w:rPr/>
        <w:t xml:space="preserve"> po </w:t>
      </w:r>
      <w:r>
        <w:rPr>
          <w:sz w:val="20"/>
        </w:rPr>
        <w:t>JSON.parse</w:t>
      </w:r>
      <w:r>
        <w:rPr/>
        <w:t xml:space="preserve"> grąžina rezultatą be laukų tipo, temos reikšmės ir šrifto dydžio intervalo patikros. Sintaksiškai taisyklingas JSON dar nebūtinai atitinka nustatymų kontraktą. Be to, </w:t>
      </w:r>
      <w:r>
        <w:rPr>
          <w:sz w:val="20"/>
        </w:rPr>
        <w:t>saveSettings</w:t>
      </w:r>
      <w:r>
        <w:rPr/>
        <w:t xml:space="preserve"> ir </w:t>
      </w:r>
      <w:r>
        <w:rPr>
          <w:sz w:val="20"/>
        </w:rPr>
        <w:t>savePosition</w:t>
      </w:r>
      <w:r>
        <w:rPr/>
        <w:t xml:space="preserve"> rašymo operacijos nėra apsaugotos nuo saugyklos išimčių. Siūloma validuoti išorinius duomenis, naudoti saugius numatytuosius nustatymus ir aiškiai tvarkyti rašymo nesėkmes. Taikomas duomenų ribos patikrinimas ir KISS. Patikra: sugadintas JSON, </w:t>
      </w:r>
      <w:r>
        <w:rPr>
          <w:sz w:val="20"/>
        </w:rPr>
        <w:t>null</w:t>
      </w:r>
      <w:r>
        <w:rPr/>
        <w:t xml:space="preserve">, neteisinga tema, tekstinis dydis, už intervalo esantis dydis ir </w:t>
      </w:r>
      <w:r>
        <w:rPr>
          <w:sz w:val="20"/>
        </w:rPr>
        <w:t>setItem</w:t>
      </w:r>
      <w:r>
        <w:rPr/>
        <w:t xml:space="preserve"> išimtis.</w:t>
      </w:r>
    </w:p>
    <w:p>
      <w:pPr>
        <w:pStyle w:val="Normal"/>
        <w:rPr/>
      </w:pPr>
      <w:r>
        <w:rPr>
          <w:b/>
        </w:rPr>
        <w:t>Pasiūlymas B4 – pažangos sinchronizavimo kontraktas.</w:t>
      </w:r>
      <w:r>
        <w:rPr/>
        <w:t xml:space="preserve"> </w:t>
      </w:r>
      <w:r>
        <w:rPr>
          <w:sz w:val="20"/>
        </w:rPr>
        <w:t>syncProgress</w:t>
      </w:r>
      <w:r>
        <w:rPr/>
        <w:t xml:space="preserve"> emituoja kliento pažangą ir iš karto prenumeruoja serverio atnaujinimą be klaidos apdorojimo. Siūloma apibrėžti, ar būsena yra optimistinė, parodyti sinchronizavimo klaidą, riboti labai dažnus įvykius ir užtikrinti naujausios reikšmės išsaugojimą. Vien </w:t>
      </w:r>
      <w:r>
        <w:rPr>
          <w:sz w:val="20"/>
        </w:rPr>
        <w:t>debounce</w:t>
      </w:r>
      <w:r>
        <w:rPr/>
        <w:t xml:space="preserve"> naudojimas gali prarasti paskutinį įvykį uždarant komponentą, todėl būtinas uždarymo scenarijus. Tai pagerintų tinklo ir sąsajos atsakomybių atskyrimą, net jei paprastų šakų metrika negerėtų. Patikra: serverio nesėkmė, keli greiti įvykiai, uždarymas prieš atidėtą siuntimą ir teisinga galutinė pažanga.</w:t>
      </w:r>
    </w:p>
    <w:p>
      <w:pPr>
        <w:pStyle w:val="Heading2"/>
        <w:rPr/>
      </w:pPr>
      <w:bookmarkStart w:id="34" w:name="__RefHeading___Toc4384_3682259208"/>
      <w:bookmarkEnd w:id="34"/>
      <w:r>
        <w:rPr/>
        <w:t>7.3. Peržiūros rezultatų statusas</w:t>
      </w:r>
    </w:p>
    <w:p>
      <w:pPr>
        <w:pStyle w:val="Normal"/>
        <w:rPr/>
      </w:pPr>
      <w:r>
        <w:rPr/>
        <w:t>Iš viso parengti du fragmentai ir po keturis pasiūlymus. Pasiūlymai nėra įgyvendintų pakeitimų sąrašas. Prieš pateikiant ataskaitą abu studentai turi peržiūrėti savo fragmentą, patikrinti vietas kode, įrašyti vardą ir mokėti paaiškinti poveikį metrikoms bei testuojamumui. Papildomas trečias komandos narys arba trečia privaloma peržiūra nenumatyti.</w:t>
      </w:r>
    </w:p>
    <w:p>
      <w:pPr>
        <w:pStyle w:val="Heading1"/>
        <w:rPr/>
      </w:pPr>
      <w:bookmarkStart w:id="35" w:name="__RefHeading___Toc4386_3682259208"/>
      <w:bookmarkEnd w:id="35"/>
      <w:r>
        <w:rPr/>
        <w:t>8. Bendrosios išvados</w:t>
      </w:r>
    </w:p>
    <w:p>
      <w:pPr>
        <w:pStyle w:val="ListNumber"/>
        <w:numPr>
          <w:ilvl w:val="0"/>
          <w:numId w:val="4"/>
        </w:numPr>
        <w:ind w:hanging="0" w:start="360"/>
        <w:rPr/>
      </w:pPr>
      <w:r>
        <w:rPr/>
        <w:t>Sistema realiai sukompiliuota ir vykdytas autentifikavimo bei bibliotekos HTTP scenarijus. Išlaikyti 28 serverio ir 17 kliento testų. Tai pagrįstas veikimo įrodymas patikrintai apimčiai, ne visos sistemos korektiškumo garantija.</w:t>
      </w:r>
    </w:p>
    <w:p>
      <w:pPr>
        <w:pStyle w:val="ListNumber"/>
        <w:numPr>
          <w:ilvl w:val="0"/>
          <w:numId w:val="4"/>
        </w:numPr>
        <w:ind w:hanging="0" w:start="360"/>
        <w:rPr/>
      </w:pPr>
      <w:r>
        <w:rPr/>
        <w:t>Pagrindinis native SonarQube prižiūrimumo įvertis A nepašalina saugumo ir patikimumo D radinių. Pirmiausia tvarkytini slaptažodžių kodavimas ir sesijos API CSRF kontraktas, ne maži stiliaus perspėjimai.</w:t>
      </w:r>
    </w:p>
    <w:p>
      <w:pPr>
        <w:pStyle w:val="ListNumber"/>
        <w:numPr>
          <w:ilvl w:val="0"/>
          <w:numId w:val="4"/>
        </w:numPr>
        <w:ind w:hanging="0" w:start="360"/>
        <w:rPr/>
      </w:pPr>
      <w:r>
        <w:rPr/>
        <w:t>Penkių metodų analizė ir WMC rezultatai rodo, kad statistikos grupavimas yra prasmingas testų ir refaktoringo taikinys. Kognityvinis balas ir ciklomatinis balas atsako į skirtingus klausimus; refaktoringo sėkmė vertinama kartu su elgsenos regresijos patikra.</w:t>
      </w:r>
    </w:p>
    <w:p>
      <w:pPr>
        <w:pStyle w:val="ListNumber"/>
        <w:numPr>
          <w:ilvl w:val="0"/>
          <w:numId w:val="4"/>
        </w:numPr>
        <w:ind w:hanging="0" w:start="360"/>
        <w:rPr/>
      </w:pPr>
      <w:r>
        <w:rPr/>
        <w:t>Paketų ir paslaugų atskyrimas yra stiprybė, tačiau tiesioginis failų I/O, kalendoriaus taisyklės ir didelė skaityklės atsakomybė didina pakeitimų kainą. Importais grindžiami proxy neapima visų vykdymo priklausomybių.</w:t>
      </w:r>
    </w:p>
    <w:p>
      <w:pPr>
        <w:pStyle w:val="ListNumber"/>
        <w:numPr>
          <w:ilvl w:val="0"/>
          <w:numId w:val="4"/>
        </w:numPr>
        <w:ind w:hanging="0" w:start="360"/>
        <w:rPr/>
      </w:pPr>
      <w:r>
        <w:rPr/>
        <w:t>MI failų mediana yra tik papildomas frontend atvaizdo rodiklis. Nepagrįstas viso korpuso nulio interpretavimas atmestas. Prižiūrimumas nesprendžiamas vienu visų savybių pažymiu.</w:t>
      </w:r>
    </w:p>
    <w:p>
      <w:pPr>
        <w:pStyle w:val="ListNumber"/>
        <w:numPr>
          <w:ilvl w:val="0"/>
          <w:numId w:val="4"/>
        </w:numPr>
        <w:ind w:hanging="0" w:start="360"/>
        <w:rPr/>
      </w:pPr>
      <w:r>
        <w:rPr/>
        <w:t>Dviejų fragmentų peržiūra pateikia po keturias konkrečias rekomendacijas. Studentų patvirtinimas, savarankiškas supratimas ir gyvas įrankių paleidimas tebėra būtini. Siūlomi pakeitimai nevadinami įgyvendintais, o vartų OK ir neimportuotas coverage nevadinami pilna patikra.</w:t>
      </w:r>
    </w:p>
    <w:p>
      <w:pPr>
        <w:pStyle w:val="Heading1"/>
        <w:rPr/>
      </w:pPr>
      <w:bookmarkStart w:id="36" w:name="__RefHeading___Toc4388_3682259208"/>
      <w:bookmarkEnd w:id="36"/>
      <w:r>
        <w:rPr/>
        <w:t>9. AI naudojimas ir darbo atkuriamumas</w:t>
      </w:r>
    </w:p>
    <w:p>
      <w:pPr>
        <w:pStyle w:val="Normal"/>
        <w:rPr/>
      </w:pPr>
      <w:r>
        <w:rPr/>
        <w:t>Naudotas Hermes Agent su šios sesijos modeliu gpt-6.1-sol. AI padėjo išskirti užduoties reikalavimus, pasirinkti ir paleisti įrankius, interpretuoti rezultatus, parengti peržiūros pasiūlymus ir suredaguoti dokumentus. AI nėra galutinis metrikų šaltinis. Matavimai grindžiami išsaugotais įrankių rezultatais, aiškiai aprašytais rankiniais skaičiavimais ir programos išeities tekstais.</w:t>
      </w:r>
    </w:p>
    <w:p>
      <w:pPr>
        <w:pStyle w:val="Normal"/>
        <w:rPr/>
      </w:pPr>
      <w:r>
        <w:rPr/>
        <w:t>Patikros principas: AI pasiūlytas teiginys sutikrinamas su nurodytu failu ir eilutėmis; vykdymo teiginys – su testų ar HTTP patikros išrašu; teorinė formulė – su pirminiu dokumentacijos šaltiniu. Siūlomi refaktoringo rezultatai neapsimetami išmatuotais „po pakeitimo“ rodikliais. Komandos nariai atsako už pateikiamų išvadų supratimą ir savo peržiūrų savarankišką patvirtinimą.</w:t>
      </w:r>
    </w:p>
    <w:p>
      <w:pPr>
        <w:pStyle w:val="Normal"/>
        <w:rPr/>
      </w:pPr>
      <w:r>
        <w:rPr/>
        <w:t>AI susirašinėjimą reikia išsaugoti ir, jei prašoma, pateikti dėstytojui. Ši ataskaita pati nepakeičia viso pokalbio archyvo. Angliškame HTML vadove pateikta paleidimo tvarka, komandų interpretavimas, gynimo eiga, klausimai ir atsakymai bei likusių studentų veiksmų sąrašas.</w:t>
      </w:r>
    </w:p>
    <w:p>
      <w:pPr>
        <w:pStyle w:val="Heading2"/>
        <w:rPr/>
      </w:pPr>
      <w:bookmarkStart w:id="37" w:name="__RefHeading___Toc4390_3682259208"/>
      <w:bookmarkEnd w:id="37"/>
      <w:r>
        <w:rPr/>
        <w:t>9.1. Atliktų ir siūlomų pakeitimų atskyrimas</w:t>
      </w:r>
    </w:p>
    <w:p>
      <w:pPr>
        <w:pStyle w:val="Normal"/>
        <w:rPr/>
      </w:pPr>
      <w:r>
        <w:rPr/>
        <w:t>Faktiškai atlikta: parengta atskira vieša kopija, atmesti privatūs konfigūracijos ir pradinės administratoriaus paskyros duomenys, sukurta vietinė demonstracinė konfigūracija, duomenų bazės parengimo ir patikros priemonės, išsaugoti analizės rezultatai bei dokumentai. Analizuotos Java ir TypeScript verslo logikos pataisymai neatlikti. Tai leidžia ginant parodyti pradinį kodą ir aptarti jo trūkumus, nekeičiant matavimo bazės.</w:t>
      </w:r>
    </w:p>
    <w:p>
      <w:pPr>
        <w:pStyle w:val="Normal"/>
        <w:rPr/>
      </w:pPr>
      <w:r>
        <w:rPr/>
        <w:t>Siūloma ateičiai: įgyvendinti atrinktų problemų pataisymus mažais atskirais pakeitimais, prie kiekvieno pridėti regresijos patikrą ir pakartoti matavimus su ta pačia įrankio konfigūracija. Tik toks „prieš / po“ palyginimas leistų patvirtinti, ar siūlomas refaktoringas iš tikrųjų pagerino pasirinktą savybę.</w:t>
      </w:r>
    </w:p>
    <w:p>
      <w:pPr>
        <w:pStyle w:val="Heading2"/>
        <w:rPr/>
      </w:pPr>
      <w:bookmarkStart w:id="38" w:name="__RefHeading___Toc4392_3682259208"/>
      <w:bookmarkEnd w:id="38"/>
      <w:r>
        <w:rPr/>
        <w:t>9.2. Pateikimo kontrolinis sąrašas</w:t>
      </w:r>
    </w:p>
    <w:p>
      <w:pPr>
        <w:pStyle w:val="Normal"/>
        <w:rPr/>
      </w:pPr>
      <w:r>
        <w:rPr/>
        <w:t>Prieš pateikiant: užpildyti titulinį lapą; priskirti du fragmentus tikriems komandos nariams ir patvirtinti peržiūras; atnaujinti automatinį turinį; patikrinti, kad dėstytojas gali atverti viešą repozitoriją; pasiruošti gyvai paleisti matavimus; išsaugoti AI susirašinėjimą. Šie studentų atliekami veiksmai nekeičiami tariamais parašais ar netikrais autoriais.</w:t>
      </w:r>
    </w:p>
    <w:p>
      <w:pPr>
        <w:pStyle w:val="Heading1"/>
        <w:rPr/>
      </w:pPr>
      <w:bookmarkStart w:id="39" w:name="__RefHeading___Toc4394_3682259208"/>
      <w:bookmarkEnd w:id="39"/>
      <w:r>
        <w:rPr/>
        <w:t>10. Literatūra ir šaltiniai</w:t>
      </w:r>
    </w:p>
    <w:p>
      <w:pPr>
        <w:pStyle w:val="Normal"/>
        <w:rPr/>
      </w:pPr>
      <w:r>
        <w:rPr/>
        <w:t>[1] Campbell, G. A.; SonarSource. Cognitive Complexity: A new way of measuring understandability. https://www.sonarsource.com/docs/CognitiveComplexity.pdf</w:t>
      </w:r>
    </w:p>
    <w:p>
      <w:pPr>
        <w:pStyle w:val="Normal"/>
        <w:rPr/>
      </w:pPr>
      <w:r>
        <w:rPr/>
        <w:t>[2] Microsoft Learn. Code metrics values. https://learn.microsoft.com/en-us/visualstudio/code-quality/code-metrics-values</w:t>
      </w:r>
    </w:p>
    <w:p>
      <w:pPr>
        <w:pStyle w:val="Normal"/>
        <w:rPr/>
      </w:pPr>
      <w:r>
        <w:rPr/>
        <w:t>[3] ESLint. complexity. https://eslint.org/docs/latest/rules/complexity</w:t>
      </w:r>
    </w:p>
    <w:p>
      <w:pPr>
        <w:pStyle w:val="Normal"/>
        <w:rPr/>
      </w:pPr>
      <w:r>
        <w:rPr/>
        <w:t>[4] Microsoft Learn. Maintainability index range and meaning. https://learn.microsoft.com/en-us/visualstudio/code-quality/code-metrics-maintainability-index-range-and-meaning</w:t>
      </w:r>
    </w:p>
    <w:p>
      <w:pPr>
        <w:pStyle w:val="Normal"/>
        <w:rPr/>
      </w:pPr>
      <w:r>
        <w:rPr/>
        <w:t>[5] SonarSource. SonarQube Community Build: Understanding measures and metrics. https://docs.sonarsource.com/sonarqube-community-build/user-guide/code-metrics/metrics-definition</w:t>
      </w:r>
    </w:p>
    <w:p>
      <w:pPr>
        <w:pStyle w:val="Normal"/>
        <w:rPr/>
      </w:pPr>
      <w:r>
        <w:rPr/>
        <w:t>[6] SonarSource. SonarScanner CLI. https://docs.sonarsource.com/sonarqube-server/analyzing-source-code/scanners/sonarscanner</w:t>
      </w:r>
    </w:p>
    <w:p>
      <w:pPr>
        <w:pStyle w:val="Normal"/>
        <w:rPr/>
      </w:pPr>
      <w:r>
        <w:rPr/>
        <w:t>[7] Google Engineering Practices. What to look for in a code review. https://google.github.io/eng-practices/review/reviewer/looking-for.html</w:t>
      </w:r>
    </w:p>
    <w:p>
      <w:pPr>
        <w:pStyle w:val="Normal"/>
        <w:rPr/>
      </w:pPr>
      <w:r>
        <w:rPr/>
        <w:t>[8] Microsoft. TypeScript Handbook. https://www.typescriptlang.org/docs/handbook/intro.html</w:t>
      </w:r>
    </w:p>
    <w:p>
      <w:pPr>
        <w:pStyle w:val="Normal"/>
        <w:rPr/>
      </w:pPr>
      <w:r>
        <w:rPr/>
        <w:t>[9] Knygnesys darbo repozitorija, išeities tekstai ir pirminiai matavimų išrašai. https://github.com/KarolisGl/knygnesys-quality-homework</w:t>
      </w:r>
    </w:p>
    <w:p>
      <w:pPr>
        <w:pStyle w:val="Normal"/>
        <w:rPr/>
      </w:pPr>
      <w:r>
        <w:rPr/>
        <w:t>[10] VILNIUS TECH. Oficialių įforminimo šaltinių apimtis, citatos ir šio dokumento sprendimai pateikti B priede. Tai ne teiginys apie nežinomos studentų katedros dabartinį universalų šabloną.</w:t>
      </w:r>
    </w:p>
    <w:p>
      <w:pPr>
        <w:pStyle w:val="Normal"/>
        <w:rPr/>
      </w:pPr>
      <w:r>
        <w:rPr/>
        <w:t>[11] SonarSource. Try out SonarQube Community Build. https://docs.sonarsource.com/sonarqube-community-build/try-out-sonarqube</w:t>
      </w:r>
    </w:p>
    <w:p>
      <w:pPr>
        <w:pStyle w:val="Normal"/>
        <w:rPr/>
      </w:pPr>
      <w:r>
        <w:rPr/>
        <w:t>[12] Tree-sitter. Java grammar ir Python bindings. https://github.com/tree-sitter/tree-sitter-java ; https://tree-sitter.github.io/py-tree-sitter/</w:t>
      </w:r>
    </w:p>
    <w:p>
      <w:pPr>
        <w:pStyle w:val="Normal"/>
        <w:rPr/>
      </w:pPr>
      <w:r>
        <w:rPr/>
        <w:t>Internetiniai dokumentai tikrinti 2026-10-05; įrankių faktinės versijos atskirtos nuo kintančių dokumentacijos puslapių versijų.</w:t>
      </w:r>
    </w:p>
    <w:p>
      <w:pPr>
        <w:pStyle w:val="Heading1"/>
        <w:rPr/>
      </w:pPr>
      <w:bookmarkStart w:id="40" w:name="__RefHeading___Toc4396_3682259208"/>
      <w:bookmarkEnd w:id="40"/>
      <w:r>
        <w:rPr/>
        <w:t>A priedas. Atitiktis namų darbo užduočiai</w:t>
      </w:r>
    </w:p>
    <w:tbl>
      <w:tblPr>
        <w:tblStyle w:val="TableGrid"/>
        <w:tblW w:w="9639"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213"/>
        <w:gridCol w:w="3213"/>
        <w:gridCol w:w="3213"/>
      </w:tblGrid>
      <w:tr>
        <w:trPr>
          <w:tblHeader w:val="true"/>
          <w:cantSplit/>
        </w:trPr>
        <w:tc>
          <w:tcPr>
            <w:tcW w:w="3213" w:type="dxa"/>
            <w:tcBorders/>
          </w:tcPr>
          <w:p>
            <w:pPr>
              <w:pStyle w:val="Normal"/>
              <w:widowControl/>
              <w:spacing w:lineRule="auto" w:line="240" w:before="0" w:after="60"/>
              <w:ind w:hanging="0"/>
              <w:jc w:val="start"/>
              <w:rPr>
                <w:kern w:val="0"/>
                <w:szCs w:val="22"/>
                <w:lang w:val="en-US" w:eastAsia="en-US" w:bidi="ar-SA"/>
              </w:rPr>
            </w:pPr>
            <w:r>
              <w:rPr>
                <w:b/>
                <w:kern w:val="0"/>
                <w:sz w:val="20"/>
                <w:szCs w:val="22"/>
                <w:lang w:val="en-US" w:eastAsia="en-US" w:bidi="ar-SA"/>
              </w:rPr>
              <w:t>Užduoties dalis</w:t>
            </w:r>
          </w:p>
        </w:tc>
        <w:tc>
          <w:tcPr>
            <w:tcW w:w="3213" w:type="dxa"/>
            <w:tcBorders/>
          </w:tcPr>
          <w:p>
            <w:pPr>
              <w:pStyle w:val="Normal"/>
              <w:widowControl/>
              <w:spacing w:lineRule="auto" w:line="240" w:before="0" w:after="60"/>
              <w:ind w:hanging="0"/>
              <w:jc w:val="start"/>
              <w:rPr>
                <w:kern w:val="0"/>
                <w:szCs w:val="22"/>
                <w:lang w:val="en-US" w:eastAsia="en-US" w:bidi="ar-SA"/>
              </w:rPr>
            </w:pPr>
            <w:r>
              <w:rPr>
                <w:b/>
                <w:kern w:val="0"/>
                <w:sz w:val="20"/>
                <w:szCs w:val="22"/>
                <w:lang w:val="en-US" w:eastAsia="en-US" w:bidi="ar-SA"/>
              </w:rPr>
              <w:t>Šios ataskaitos vieta</w:t>
            </w:r>
          </w:p>
        </w:tc>
        <w:tc>
          <w:tcPr>
            <w:tcW w:w="3213" w:type="dxa"/>
            <w:tcBorders/>
          </w:tcPr>
          <w:p>
            <w:pPr>
              <w:pStyle w:val="Normal"/>
              <w:widowControl/>
              <w:spacing w:lineRule="auto" w:line="240" w:before="0" w:after="60"/>
              <w:ind w:hanging="0"/>
              <w:jc w:val="start"/>
              <w:rPr>
                <w:kern w:val="0"/>
                <w:szCs w:val="22"/>
                <w:lang w:val="en-US" w:eastAsia="en-US" w:bidi="ar-SA"/>
              </w:rPr>
            </w:pPr>
            <w:r>
              <w:rPr>
                <w:b/>
                <w:kern w:val="0"/>
                <w:sz w:val="20"/>
                <w:szCs w:val="22"/>
                <w:lang w:val="en-US" w:eastAsia="en-US" w:bidi="ar-SA"/>
              </w:rPr>
              <w:t>Įrodymas arba ribotumas</w:t>
            </w:r>
          </w:p>
        </w:tc>
      </w:tr>
      <w:tr>
        <w:trPr>
          <w:cantSplit/>
        </w:trPr>
        <w:tc>
          <w:tcPr>
            <w:tcW w:w="3213"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Sistema, repozitorija ir veikimas</w:t>
            </w:r>
          </w:p>
        </w:tc>
        <w:tc>
          <w:tcPr>
            <w:tcW w:w="3213"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1 ir 3 skyriai</w:t>
            </w:r>
          </w:p>
        </w:tc>
        <w:tc>
          <w:tcPr>
            <w:tcW w:w="3213"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Vieša kopija, išeities tekstų manifestas ir faktiški paleidimo rezultatai</w:t>
            </w:r>
          </w:p>
        </w:tc>
      </w:tr>
      <w:tr>
        <w:trPr>
          <w:cantSplit/>
        </w:trPr>
        <w:tc>
          <w:tcPr>
            <w:tcW w:w="3213"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Įrankių pasirinkimas ir versijos</w:t>
            </w:r>
          </w:p>
        </w:tc>
        <w:tc>
          <w:tcPr>
            <w:tcW w:w="3213"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2 ir 3 skyriai</w:t>
            </w:r>
          </w:p>
        </w:tc>
        <w:tc>
          <w:tcPr>
            <w:tcW w:w="3213"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Įrankių lentelė, konfigūracijos, komandos ir išrašai</w:t>
            </w:r>
          </w:p>
        </w:tc>
      </w:tr>
      <w:tr>
        <w:trPr>
          <w:cantSplit/>
        </w:trPr>
        <w:tc>
          <w:tcPr>
            <w:tcW w:w="3213"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Abiejų rūšių sudėtingumas</w:t>
            </w:r>
          </w:p>
        </w:tc>
        <w:tc>
          <w:tcPr>
            <w:tcW w:w="3213"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4 skyrius</w:t>
            </w:r>
          </w:p>
        </w:tc>
        <w:tc>
          <w:tcPr>
            <w:tcW w:w="3213"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Atrinkti metodai, rodikliai ir rankinis pagrindimas</w:t>
            </w:r>
          </w:p>
        </w:tc>
      </w:tr>
      <w:tr>
        <w:trPr>
          <w:cantSplit/>
        </w:trPr>
        <w:tc>
          <w:tcPr>
            <w:tcW w:w="3213"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Minimalūs testavimo scenarijai</w:t>
            </w:r>
          </w:p>
        </w:tc>
        <w:tc>
          <w:tcPr>
            <w:tcW w:w="3213"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4 skyrius</w:t>
            </w:r>
          </w:p>
        </w:tc>
        <w:tc>
          <w:tcPr>
            <w:tcW w:w="3213"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Pasirinktas padengimo kriterijus, ne tariamas universalus testų minimumas</w:t>
            </w:r>
          </w:p>
        </w:tc>
      </w:tr>
      <w:tr>
        <w:trPr>
          <w:cantSplit/>
        </w:trPr>
        <w:tc>
          <w:tcPr>
            <w:tcW w:w="3213"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Prižiūrimumo rodiklis</w:t>
            </w:r>
          </w:p>
        </w:tc>
        <w:tc>
          <w:tcPr>
            <w:tcW w:w="3213"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5 skyrius</w:t>
            </w:r>
          </w:p>
        </w:tc>
        <w:tc>
          <w:tcPr>
            <w:tcW w:w="3213"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Faktinė metodika, įvesties apimtis ir apribojimai</w:t>
            </w:r>
          </w:p>
        </w:tc>
      </w:tr>
      <w:tr>
        <w:trPr>
          <w:cantSplit/>
        </w:trPr>
        <w:tc>
          <w:tcPr>
            <w:tcW w:w="3213"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Struktūra, cohesion ir coupling</w:t>
            </w:r>
          </w:p>
        </w:tc>
        <w:tc>
          <w:tcPr>
            <w:tcW w:w="3213"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5 skyrius</w:t>
            </w:r>
          </w:p>
        </w:tc>
        <w:tc>
          <w:tcPr>
            <w:tcW w:w="3213"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Apibrėžtos metrikos ir konkrečių atsakomybių analizė</w:t>
            </w:r>
          </w:p>
        </w:tc>
      </w:tr>
      <w:tr>
        <w:trPr>
          <w:cantSplit/>
        </w:trPr>
        <w:tc>
          <w:tcPr>
            <w:tcW w:w="3213"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Bent du statinės analizės įrankiai</w:t>
            </w:r>
          </w:p>
        </w:tc>
        <w:tc>
          <w:tcPr>
            <w:tcW w:w="3213"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6 skyrius</w:t>
            </w:r>
          </w:p>
        </w:tc>
        <w:tc>
          <w:tcPr>
            <w:tcW w:w="3213"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Išsaugoti skirtingų įrankių rezultatai</w:t>
            </w:r>
          </w:p>
        </w:tc>
      </w:tr>
      <w:tr>
        <w:trPr>
          <w:cantSplit/>
        </w:trPr>
        <w:tc>
          <w:tcPr>
            <w:tcW w:w="3213"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Skirtingos problemos ir taisymas</w:t>
            </w:r>
          </w:p>
        </w:tc>
        <w:tc>
          <w:tcPr>
            <w:tcW w:w="3213"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6 skyrius</w:t>
            </w:r>
          </w:p>
        </w:tc>
        <w:tc>
          <w:tcPr>
            <w:tcW w:w="3213"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Atrinkti radiniai, vietos, poveikis ir patikra</w:t>
            </w:r>
          </w:p>
        </w:tc>
      </w:tr>
      <w:tr>
        <w:trPr>
          <w:cantSplit/>
        </w:trPr>
        <w:tc>
          <w:tcPr>
            <w:tcW w:w="3213"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Dviejų studentų kodo peržiūra</w:t>
            </w:r>
          </w:p>
        </w:tc>
        <w:tc>
          <w:tcPr>
            <w:tcW w:w="3213"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7 skyrius</w:t>
            </w:r>
          </w:p>
        </w:tc>
        <w:tc>
          <w:tcPr>
            <w:tcW w:w="3213"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Du skirtingi fragmentai; autoriai patvirtina savo peržiūras</w:t>
            </w:r>
          </w:p>
        </w:tc>
      </w:tr>
      <w:tr>
        <w:trPr>
          <w:cantSplit/>
        </w:trPr>
        <w:tc>
          <w:tcPr>
            <w:tcW w:w="3213"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Bendrosios išvados</w:t>
            </w:r>
          </w:p>
        </w:tc>
        <w:tc>
          <w:tcPr>
            <w:tcW w:w="3213"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8 skyrius</w:t>
            </w:r>
          </w:p>
        </w:tc>
        <w:tc>
          <w:tcPr>
            <w:tcW w:w="3213"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Rezultatais pagrįstos stiprybės, trūkumai ir prioritetai</w:t>
            </w:r>
          </w:p>
        </w:tc>
      </w:tr>
      <w:tr>
        <w:trPr>
          <w:cantSplit/>
        </w:trPr>
        <w:tc>
          <w:tcPr>
            <w:tcW w:w="3213"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AI deklaravimas</w:t>
            </w:r>
          </w:p>
        </w:tc>
        <w:tc>
          <w:tcPr>
            <w:tcW w:w="3213"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9 skyrius</w:t>
            </w:r>
          </w:p>
        </w:tc>
        <w:tc>
          <w:tcPr>
            <w:tcW w:w="3213"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Naudojimo tikslas ir faktinė patikros metodika</w:t>
            </w:r>
          </w:p>
        </w:tc>
      </w:tr>
      <w:tr>
        <w:trPr>
          <w:cantSplit/>
        </w:trPr>
        <w:tc>
          <w:tcPr>
            <w:tcW w:w="3213"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Gyvas gynimas</w:t>
            </w:r>
          </w:p>
        </w:tc>
        <w:tc>
          <w:tcPr>
            <w:tcW w:w="3213"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HTML vadovas</w:t>
            </w:r>
          </w:p>
        </w:tc>
        <w:tc>
          <w:tcPr>
            <w:tcW w:w="3213" w:type="dxa"/>
            <w:tcBorders/>
          </w:tcPr>
          <w:p>
            <w:pPr>
              <w:pStyle w:val="Normal"/>
              <w:widowControl/>
              <w:spacing w:lineRule="auto" w:line="240" w:before="0" w:after="60"/>
              <w:ind w:hanging="0"/>
              <w:jc w:val="start"/>
              <w:rPr>
                <w:kern w:val="0"/>
                <w:szCs w:val="22"/>
                <w:lang w:val="en-US" w:eastAsia="en-US" w:bidi="ar-SA"/>
              </w:rPr>
            </w:pPr>
            <w:r>
              <w:rPr>
                <w:b w:val="false"/>
                <w:kern w:val="0"/>
                <w:sz w:val="20"/>
                <w:szCs w:val="22"/>
                <w:lang w:val="en-US" w:eastAsia="en-US" w:bidi="ar-SA"/>
              </w:rPr>
              <w:t>Paleidimo tvarka, atkūrimas ir klausimų paaiškinimai</w:t>
            </w:r>
          </w:p>
        </w:tc>
      </w:tr>
    </w:tbl>
    <w:p>
      <w:pPr>
        <w:pStyle w:val="Normal"/>
        <w:spacing w:before="0" w:after="60"/>
        <w:rPr/>
      </w:pPr>
      <w:r>
        <w:rPr/>
      </w:r>
    </w:p>
    <w:p>
      <w:pPr>
        <w:pStyle w:val="Heading1"/>
        <w:rPr/>
      </w:pPr>
      <w:bookmarkStart w:id="41" w:name="__RefHeading___Toc4398_3682259208"/>
      <w:bookmarkEnd w:id="41"/>
      <w:r>
        <w:rPr/>
        <w:t>B priedas. Įforminimo šaltinio apimtis ir taikytas maketas</w:t>
      </w:r>
    </w:p>
    <w:p>
      <w:pPr>
        <w:pStyle w:val="Normal"/>
        <w:rPr/>
      </w:pPr>
      <w:r>
        <w:rPr/>
        <w:t>Oficialaus VILNIUS TECH 2026 m. rugsėjo baigiamųjų darbų rengimo ir gynimo tvarkos aprašo 18.3 punktas: „Specialiuosius BD rengimo, įforminimo ir pristatymo ginti reikalavimus nustato fakultetai, kurių padaliniai (katedros) parengia metodinius nurodymus.“ Šaltinis: https://vilniustech.lt/wp-content/uploads/2026/09/Baigiamuju-darbu-rengimo-ir-gynimo-tvarkos-apraso-nauja-redakcija.pdf?x77629</w:t>
      </w:r>
    </w:p>
    <w:p>
      <w:pPr>
        <w:pStyle w:val="Normal"/>
        <w:rPr/>
      </w:pPr>
      <w:r>
        <w:rPr/>
        <w:t>Taigi šis dokumentas patvirtina fakulteto / katedros reikalavimų svarbą, o ne bendrą universalų šrifto ir paraščių šabloną. Komandos fakultetas ir katedra nepateikti; titulinį lapą parengia studentai. Anksčiau indeksuotas magistrantūros metodinių nurodymų PDF adresas patikros metu grąžino universiteto HTML 404 puslapį, todėl paieškos ištrauka nelaikoma patikrintu viso dokumento šaltiniu.</w:t>
      </w:r>
    </w:p>
    <w:p>
      <w:pPr>
        <w:pStyle w:val="Normal"/>
        <w:rPr/>
      </w:pPr>
      <w:r>
        <w:rPr/>
        <w:t>Deklaruotas darbinis akademinis maketas: A4; Times New Roman 12 pt; tekstas lygiuojamas pagal abu kraštus; 1,5 eilutės intervalas; kairė paraštė 30 mm, dešinė 10 mm, viršus ir apačia po 20 mm; pirmos eilutės įtrauka 12,5 mm. Lentelėse naudojamas 10 pt ir viengubas intervalas; pirmo lygio antraštėse – 14 pt. Turinys ir puslapių numeriai yra atnaujinami laukai, pirmame puslapyje poraštė nerodoma.</w:t>
      </w:r>
    </w:p>
    <w:p>
      <w:pPr>
        <w:pStyle w:val="Normal"/>
        <w:rPr/>
      </w:pPr>
      <w:r>
        <w:rPr/>
        <w:t>Tai aiškiai įvardytos maketo prielaidos, ne pažyma apie nežinomos katedros dabartinio šablono atitiktį. Tikslioji fakulteto / katedros atitiktis lieka nepatvirtinta. Gavus aktualų šabloną, tikslinami stiliai ir puslapio parametrai, po to atnaujinami laukai. Patikra, kad naudojamas tikras Times New Roman šriftas, neprilyginama įforminimo taisyklių šaltinio taikomumo patikrai.</w:t>
      </w:r>
    </w:p>
    <w:sectPr>
      <w:footerReference w:type="even" r:id="rId2"/>
      <w:footerReference w:type="default" r:id="rId3"/>
      <w:footerReference w:type="first" r:id="rId4"/>
      <w:type w:val="nextPage"/>
      <w:pgSz w:w="11906" w:h="16838"/>
      <w:pgMar w:left="1701" w:right="567" w:gutter="0" w:header="0" w:top="1134" w:footer="567"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hanging="0"/>
      <w:jc w:val="center"/>
      <w:rPr/>
    </w:pPr>
    <w:r>
      <w:rPr/>
      <w:fldChar w:fldCharType="begin"/>
    </w:r>
    <w:r>
      <w:rPr/>
      <w:instrText xml:space="preserve"> PAGE </w:instrText>
    </w:r>
    <w:r>
      <w:rPr/>
      <w:fldChar w:fldCharType="separate"/>
    </w:r>
    <w:r>
      <w:rPr/>
      <w:t>25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60" w:before="0" w:after="0"/>
      <w:ind w:firstLine="709"/>
      <w:jc w:val="both"/>
    </w:pPr>
    <w:rPr>
      <w:rFonts w:ascii="Times New Roman" w:hAnsi="Times New Roman" w:eastAsia="Times New Roman" w:cs="Times New Roman"/>
      <w:color w:val="000000"/>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pageBreakBefore/>
      <w:spacing w:before="240" w:after="120"/>
      <w:ind w:hanging="0"/>
      <w:jc w:val="center"/>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val="true"/>
      <w:keepLines/>
      <w:pageBreakBefore w:val="false"/>
      <w:spacing w:before="240" w:after="120"/>
      <w:ind w:hanging="0"/>
      <w:jc w:val="start"/>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val="true"/>
      <w:keepLines/>
      <w:pageBreakBefore w:val="false"/>
      <w:spacing w:before="240" w:after="120"/>
      <w:ind w:hanging="0"/>
      <w:jc w:val="start"/>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rFonts w:ascii="Times New Roman" w:hAnsi="Times New Roman" w:eastAsia="Times New Roman" w:cs="Times New Roman"/>
      <w:color w:val="000000"/>
      <w:sz w:val="24"/>
    </w:rPr>
  </w:style>
  <w:style w:type="paragraph" w:styleId="List">
    <w:name w:val="List"/>
    <w:basedOn w:val="Normal"/>
    <w:uiPriority w:val="99"/>
    <w:unhideWhenUsed/>
    <w:rsid w:val="00aa1d8d"/>
    <w:pPr>
      <w:spacing w:before="0" w:after="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Times New Roman" w:hAnsi="Times New Roman" w:eastAsia="Times New Roman" w:cs="Times New Roman"/>
      <w:color w:val="000000"/>
      <w:spacing w:val="5"/>
      <w:kern w:val="2"/>
      <w:sz w:val="24"/>
      <w:szCs w:val="52"/>
    </w:rPr>
  </w:style>
  <w:style w:type="paragraph" w:styleId="Subtitle">
    <w:name w:val="Subtitle"/>
    <w:basedOn w:val="Normal"/>
    <w:next w:val="Normal"/>
    <w:link w:val="SubtitleChar"/>
    <w:uiPriority w:val="11"/>
    <w:qFormat/>
    <w:rsid w:val="00fc693f"/>
    <w:pPr/>
    <w:rPr>
      <w:rFonts w:ascii="Times New Roman" w:hAnsi="Times New Roman" w:eastAsia="Times New Roman" w:cs="Times New Roman"/>
      <w:i/>
      <w:iCs/>
      <w:color w:val="000000"/>
      <w:spacing w:val="15"/>
      <w:sz w:val="24"/>
      <w:szCs w:val="24"/>
    </w:rPr>
  </w:style>
  <w:style w:type="paragraph" w:styleId="ListParagraph">
    <w:name w:val="List Paragraph"/>
    <w:basedOn w:val="Normal"/>
    <w:uiPriority w:val="34"/>
    <w:qFormat/>
    <w:rsid w:val="00fc693f"/>
    <w:pPr>
      <w:spacing w:before="0" w:after="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0"/>
      <w:ind w:hanging="360" w:start="720"/>
      <w:contextualSpacing/>
    </w:pPr>
    <w:rPr/>
  </w:style>
  <w:style w:type="paragraph" w:styleId="List3">
    <w:name w:val="List 3"/>
    <w:basedOn w:val="Normal"/>
    <w:uiPriority w:val="99"/>
    <w:unhideWhenUsed/>
    <w:qFormat/>
    <w:rsid w:val="00326f90"/>
    <w:pPr>
      <w:spacing w:before="0" w:after="0"/>
      <w:ind w:hanging="360" w:start="1080"/>
      <w:contextualSpacing/>
    </w:pPr>
    <w:rPr/>
  </w:style>
  <w:style w:type="paragraph" w:styleId="ListBullet">
    <w:name w:val="List Bullet"/>
    <w:basedOn w:val="Normal"/>
    <w:uiPriority w:val="99"/>
    <w:unhideWhenUsed/>
    <w:rsid w:val="00326f90"/>
    <w:pPr>
      <w:numPr>
        <w:ilvl w:val="0"/>
        <w:numId w:val="1"/>
      </w:numPr>
      <w:spacing w:before="0" w:after="0"/>
      <w:ind w:hanging="0"/>
      <w:contextualSpacing/>
    </w:pPr>
    <w:rPr>
      <w:rFonts w:ascii="Times New Roman" w:hAnsi="Times New Roman" w:eastAsia="Times New Roman" w:cs="Times New Roman"/>
      <w:color w:val="000000"/>
      <w:sz w:val="24"/>
    </w:rPr>
  </w:style>
  <w:style w:type="paragraph" w:styleId="ListBullet2">
    <w:name w:val="List Bullet 2"/>
    <w:basedOn w:val="Normal"/>
    <w:uiPriority w:val="99"/>
    <w:unhideWhenUsed/>
    <w:rsid w:val="00326f90"/>
    <w:pPr>
      <w:numPr>
        <w:ilvl w:val="0"/>
        <w:numId w:val="2"/>
      </w:numPr>
      <w:spacing w:before="0" w:after="0"/>
      <w:contextualSpacing/>
    </w:pPr>
    <w:rPr/>
  </w:style>
  <w:style w:type="paragraph" w:styleId="ListBullet3">
    <w:name w:val="List Bullet 3"/>
    <w:basedOn w:val="Normal"/>
    <w:uiPriority w:val="99"/>
    <w:unhideWhenUsed/>
    <w:rsid w:val="00326f90"/>
    <w:pPr>
      <w:numPr>
        <w:ilvl w:val="0"/>
        <w:numId w:val="3"/>
      </w:numPr>
      <w:spacing w:before="0" w:after="0"/>
      <w:contextualSpacing/>
    </w:pPr>
    <w:rPr/>
  </w:style>
  <w:style w:type="paragraph" w:styleId="ListNumber">
    <w:name w:val="List Number"/>
    <w:basedOn w:val="Normal"/>
    <w:uiPriority w:val="99"/>
    <w:unhideWhenUsed/>
    <w:rsid w:val="00326f90"/>
    <w:pPr>
      <w:numPr>
        <w:ilvl w:val="0"/>
        <w:numId w:val="4"/>
      </w:numPr>
      <w:spacing w:before="0" w:after="0"/>
      <w:ind w:hanging="0"/>
      <w:contextualSpacing/>
    </w:pPr>
    <w:rPr>
      <w:rFonts w:ascii="Times New Roman" w:hAnsi="Times New Roman" w:eastAsia="Times New Roman" w:cs="Times New Roman"/>
      <w:color w:val="000000"/>
      <w:sz w:val="24"/>
    </w:rPr>
  </w:style>
  <w:style w:type="paragraph" w:styleId="ListNumber2">
    <w:name w:val="List Number 2"/>
    <w:basedOn w:val="Normal"/>
    <w:uiPriority w:val="99"/>
    <w:unhideWhenUsed/>
    <w:rsid w:val="0029639d"/>
    <w:pPr>
      <w:numPr>
        <w:ilvl w:val="0"/>
        <w:numId w:val="5"/>
      </w:numPr>
      <w:spacing w:before="0" w:after="0"/>
      <w:contextualSpacing/>
    </w:pPr>
    <w:rPr/>
  </w:style>
  <w:style w:type="paragraph" w:styleId="ListNumber3">
    <w:name w:val="List Number 3"/>
    <w:basedOn w:val="Normal"/>
    <w:uiPriority w:val="99"/>
    <w:unhideWhenUsed/>
    <w:rsid w:val="0029639d"/>
    <w:pPr>
      <w:numPr>
        <w:ilvl w:val="0"/>
        <w:numId w:val="6"/>
      </w:numPr>
      <w:spacing w:before="0" w:after="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color w:val="000000"/>
      <w:sz w:val="24"/>
    </w:rPr>
  </w:style>
  <w:style w:type="paragraph" w:styleId="TOC1">
    <w:name w:val="toc 1"/>
    <w:basedOn w:val="Index"/>
    <w:pPr>
      <w:tabs>
        <w:tab w:val="clear" w:pos="720"/>
        <w:tab w:val="right" w:pos="9638" w:leader="dot"/>
      </w:tabs>
      <w:ind w:hanging="0" w:start="0"/>
    </w:pPr>
    <w:rPr>
      <w:rFonts w:ascii="Times New Roman" w:hAnsi="Times New Roman"/>
      <w:sz w:val="24"/>
    </w:rPr>
  </w:style>
  <w:style w:type="paragraph" w:styleId="TOC2">
    <w:name w:val="toc 2"/>
    <w:basedOn w:val="Index"/>
    <w:pPr>
      <w:tabs>
        <w:tab w:val="clear" w:pos="720"/>
        <w:tab w:val="right" w:pos="9355" w:leader="dot"/>
      </w:tabs>
      <w:ind w:hanging="0" w:start="283"/>
    </w:pPr>
    <w:rPr>
      <w:rFonts w:ascii="Times New Roman" w:hAnsi="Times New Roman"/>
      <w:sz w:val="24"/>
    </w:rPr>
  </w:style>
  <w:style w:type="paragraph" w:styleId="TOC3">
    <w:name w:val="toc 3"/>
    <w:basedOn w:val="Index"/>
    <w:pPr>
      <w:tabs>
        <w:tab w:val="clear" w:pos="720"/>
        <w:tab w:val="right" w:pos="9071" w:leader="dot"/>
      </w:tabs>
      <w:ind w:hanging="0" w:start="567"/>
    </w:pPr>
    <w:rPr>
      <w:rFonts w:ascii="Times New Roman" w:hAnsi="Times New Roman"/>
      <w:sz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LibreOffice/26.2.6.1$Linux_X86_64 LibreOffice_project/620$Build-1</Application>
  <AppVersion>15.0000</AppVersion>
  <Pages>25</Pages>
  <Words>5285</Words>
  <Characters>38002</Characters>
  <CharactersWithSpaces>42982</CharactersWithSpaces>
  <Paragraphs>334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Studentų komanda (vardai įrašomi tituliniame lape)</dc:creator>
  <dc:description>generated by python-docx</dc:description>
  <dc:language>lt-LT</dc:language>
  <cp:lastModifiedBy/>
  <dcterms:modified xsi:type="dcterms:W3CDTF">2026-10-05T22:52:27Z</dcterms:modified>
  <cp:revision>2</cp:revision>
  <dc:subject>Pirmas namų darbas; dviejų studentų komanda</dc:subject>
  <dc:title>Knygnešys: kodo kokybės analizė</dc:title>
</cp:coreProperties>
</file>

<file path=docProps/custom.xml><?xml version="1.0" encoding="utf-8"?>
<Properties xmlns="http://schemas.openxmlformats.org/officeDocument/2006/custom-properties" xmlns:vt="http://schemas.openxmlformats.org/officeDocument/2006/docPropsVTypes"/>
</file>