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sz w:val="50"/>
        </w:rPr>
        <w:t>Kredito paraiškų rizikos klasifikavimas</w:t>
      </w:r>
    </w:p>
    <w:p>
      <w:pPr>
        <w:widowControl/>
      </w:pPr>
      <w:r>
        <w:rPr>
          <w:color w:val="000000"/>
        </w:rPr>
        <w:t>Karolis Lapinskas · PEPfm-26 · Intelektualiosios sistemos</w:t>
      </w:r>
    </w:p>
    <w:p>
      <w:pPr>
        <w:widowControl/>
      </w:pPr>
      <w:r>
        <w:rPr>
          <w:color w:val="000000"/>
        </w:rPr>
        <w:t>Galutinio darbo ataskaita · 2026 m. rugsėjo 20 d.</w:t>
      </w:r>
    </w:p>
    <w:p>
      <w:pPr>
        <w:pStyle w:val="Heading2"/>
      </w:pPr>
      <w:r>
        <w:rPr>
          <w:rFonts w:ascii="Arial" w:hAnsi="Arial"/>
          <w:color w:val="000000"/>
          <w:sz w:val="24"/>
        </w:rPr>
        <w:t>1 Darbo tikslas ir problema</w:t>
      </w:r>
    </w:p>
    <w:p>
      <w:pPr>
        <w:widowControl/>
      </w:pPr>
      <w:r>
        <w:rPr>
          <w:color w:val="000000"/>
        </w:rPr>
        <w:t>Sukurtas prototipas, kuris iš kredito paraiškos požymių įvertina blogos rizikos tikimybę ir priskiria klasę good arba bad. Palygintos šešios alternatyvos. Pasirinktas SVM, nes jis pasiekė mažiausią vidutinę klaidų kainą. Toliau paaiškinta, kaip paruošti duomenys, palyginti metodai ir ką reiškia rezultatai.</w:t>
      </w:r>
    </w:p>
    <w:p>
      <w:pPr>
        <w:widowControl/>
      </w:pPr>
      <w:r>
        <w:rPr>
          <w:color w:val="000000"/>
        </w:rPr>
        <w:t>Pagrindinė problema – nevienodos klaidų pasekmės. Geros rizikos atmetimas žymimas FP ir kainuoja 1 sąlyginį vienetą, o blogos rizikos patvirtinimas žymimas FN ir kainuoja 5. Tai eksperimento prielaida, o ne tikri banko nuostoliai. Vien bendro tikslumo nepakanka: visada prognozuojant good gaunamas 70 % tikslumas, bet praleidžiami visi bad atvejai.</w:t>
      </w:r>
    </w:p>
    <w:p>
      <w:pPr>
        <w:widowControl/>
      </w:pPr>
      <w:r>
        <w:rPr>
          <w:color w:val="000000"/>
        </w:rPr>
        <w:t>Sprendimą apsunkina maža istorinė imtis, skirtingų tipų požymiai, netiesinės jų sąveikos ir nevienodas klaidų pasiskirstymas grupėse. Neaišku, ar sudėtingesnis modelis bus geresnis ir kokį slenkstį taikyti. Todėl metodai tikrinami vienodai, o slenkstis parenkamas pagal kainą.</w:t>
      </w:r>
    </w:p>
    <w:p>
      <w:pPr>
        <w:pStyle w:val="Heading2"/>
      </w:pPr>
      <w:r>
        <w:rPr>
          <w:rFonts w:ascii="Arial" w:hAnsi="Arial"/>
          <w:color w:val="000000"/>
          <w:sz w:val="24"/>
        </w:rPr>
        <w:t>2 Duomenys ir atlikti veiksmai</w:t>
      </w:r>
    </w:p>
    <w:p>
      <w:pPr>
        <w:widowControl/>
      </w:pPr>
      <w:r>
        <w:rPr>
          <w:color w:val="000000"/>
        </w:rPr>
        <w:t>Naudotas viešas OpenML credit-g rinkinys, ID 31 [1]: 1 000 įrašų, 20 požymių, 700 good ir 300 bad. Klasės koduojamos good = 0, bad = 1. Skaitiniai požymiai apima trukmę, sumą, amžių ir kreditų skaičių; kategoriniai – sąskaitos būseną, kredito tikslą, būstą ir kitas savybes. Kredito sumos yra istorinio rinkinio vienetais, ne eurais.</w:t>
      </w:r>
    </w:p>
    <w:tbl>
      <w:tblPr>
        <w:tblW w:type="auto" w:w="0"/>
        <w:jc w:val="center"/>
        <w:tblLayout w:type="fixed"/>
        <w:tblLook w:firstColumn="1" w:firstRow="1" w:lastColumn="0" w:lastRow="0" w:noHBand="0" w:noVBand="1" w:val="04A0"/>
      </w:tblPr>
      <w:tblGrid>
        <w:gridCol w:w="2088"/>
        <w:gridCol w:w="7848"/>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Etapas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Kas atlikta ir kodėl</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Duomenų patikra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Patikrinti stulpeliai bei klasės, įrašytas šaltinis ir kontrolinė suma.</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Paruošimas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Tušti skaičiai užpildomi mediana, kategorijos – dažniausia reikšme. Skaičiai standartizuojami, kategorijos koduojamos indikatoriais.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Modelių palyginimas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Visi metodai vertinti tais pačiais skaidymais. Modelis ir slenkstis pasirinkti plėtros duomenyse.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Galutinė patikra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Apskaičiuotos testo metrikos, patikrinti pašalinti požymiai, trūkstamos reikšmės ir grupės.</w:t>
            </w:r>
          </w:p>
        </w:tc>
      </w:tr>
    </w:tbl>
    <w:p>
      <w:pPr>
        <w:widowControl/>
        <w:spacing w:after="0"/>
      </w:pPr>
    </w:p>
    <w:p>
      <w:pPr>
        <w:widowControl/>
      </w:pPr>
      <w:r>
        <w:rPr>
          <w:color w:val="000000"/>
        </w:rPr>
        <w:t>Šie etapai leidžia vadovui matyti darbo eigą, finansininkui – klaidų pasekmes, o paraiškas vertinančiam darbuotojui – suprasti tikimybės ir sprendimo skirtumą. Transformacijos mokomos tik mokymo dalyje, kad testo duomenys iš anksto nepaveiktų modelio.</w:t>
      </w:r>
    </w:p>
    <w:p>
      <w:r>
        <w:rPr>
          <w:color w:val="000000"/>
        </w:rPr>
        <w:br w:type="page"/>
      </w:r>
    </w:p>
    <w:p>
      <w:pPr>
        <w:pStyle w:val="Heading1"/>
      </w:pPr>
      <w:r>
        <w:rPr>
          <w:rFonts w:ascii="Arial" w:hAnsi="Arial"/>
          <w:color w:val="000000"/>
          <w:sz w:val="34"/>
        </w:rPr>
        <w:t>3 Metodai ir jų palyginimo tvarka</w:t>
      </w:r>
    </w:p>
    <w:tbl>
      <w:tblPr>
        <w:tblW w:type="auto" w:w="0"/>
        <w:jc w:val="center"/>
        <w:tblLayout w:type="fixed"/>
        <w:tblLook w:firstColumn="1" w:firstRow="1" w:lastColumn="0" w:lastRow="0" w:noHBand="0" w:noVBand="1" w:val="04A0"/>
      </w:tblPr>
      <w:tblGrid>
        <w:gridCol w:w="1872"/>
        <w:gridCol w:w="4464"/>
        <w:gridCol w:w="3600"/>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Metodas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Kaip veikia ir kuo naudingas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Trūkumai</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Logistinė regresija</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Išmoksta požymių svorius ir grąžina tikimybę. Paprastas, greitas atskaitos metodas.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Sudėtingoms netiesinėms sąveikoms reikia papildomų požymių.</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SVM su RBF</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Ieško netiesinės klases skiriančios ribos. Tinka požymių sąveikoms aprašyti.</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Reikia standartizavimo, parametrų paieškos ir tikimybių kalibracijos.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MLP</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Neuroninis tinklas mokosi netiesinių požymių derinių. Lankstus modelis.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Mažoje imtyje gali persimokyti; jautrus mokymo nustatymams.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Fuzzy</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Palaipsnės trukmės ir sumos narystės sujungiamos su sąskaitos bei santaupų balais. Lengva paaiškinti.</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Rankiniai svoriai ir tik keturi požymiai. Balas nėra kalibruota tikimybė.</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Visada good arba bad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Dvi pastovios taisyklės parodo paprastą atskaitą. Jų kainos – 1,50 ir 0,70.</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Neatsižvelgia į individualią paraišką.</w:t>
            </w:r>
          </w:p>
        </w:tc>
      </w:tr>
    </w:tbl>
    <w:p>
      <w:pPr>
        <w:widowControl/>
        <w:spacing w:after="0"/>
      </w:pPr>
    </w:p>
    <w:p>
      <w:pPr>
        <w:widowControl/>
      </w:pPr>
      <w:r>
        <w:rPr>
          <w:color w:val="000000"/>
        </w:rPr>
        <w:t>Literatūra pagrindžia, kodėl šiuos metodus verta bandyti. Lessmann ir kt. lygino kredito rizikos algoritmus, įtraukdami German Credit [2]. SVM remiasi Cortes ir Vapnik darbu [3], o fuzzy narystės sąvoka – Zadeh [4]. Cybenko teorinis rezultatas motyvuoja neuroninių tinklų lankstumą [5], bet negarantuoja, kad šio darbo MLP laimės mažoje imtyje.</w:t>
      </w:r>
    </w:p>
    <w:p>
      <w:pPr>
        <w:widowControl/>
      </w:pPr>
      <w:r>
        <w:rPr>
          <w:color w:val="000000"/>
        </w:rPr>
        <w:t>Papildomai būtų galima bandyti sprendimų medį: jį lengva paaiškinti, tačiau gilus medis gali persimokyti. Atsitiktinis miškas paprastai sumažina vieno medžio nestabilumą, bet individualų sprendimą aiškinti sudėtingiau. Šie metodai čia neišbandyti, todėl jų pranašumas neteigiamas.</w:t>
      </w:r>
    </w:p>
    <w:p>
      <w:pPr>
        <w:pStyle w:val="Heading2"/>
      </w:pPr>
      <w:r>
        <w:rPr>
          <w:rFonts w:ascii="Arial" w:hAnsi="Arial"/>
          <w:color w:val="000000"/>
          <w:sz w:val="24"/>
        </w:rPr>
        <w:t>Kaip palyginimas padarytas sąžiningas</w:t>
      </w:r>
    </w:p>
    <w:p>
      <w:pPr>
        <w:widowControl/>
      </w:pPr>
      <w:r>
        <w:rPr>
          <w:color w:val="000000"/>
        </w:rPr>
        <w:t>Duomenys stratifikuotai padalyti į 800 plėtros ir 200 galutinio testo įrašų; sėkla 2026. Plėtros dalyje naudojamas 5 dalių kryžminis vertinimas, pakartotas 3 kartus. Viename išoriniame žingsnyje apie 640 eilučių skirtos mokymui, 160 – vertinimui. Visi šeši metodai gauna tuos pačius 15 skaidymų.</w:t>
      </w:r>
    </w:p>
    <w:p>
      <w:pPr>
        <w:widowControl/>
      </w:pPr>
      <w:r>
        <w:rPr>
          <w:color w:val="000000"/>
        </w:rPr>
        <w:t>Parametrai parenkami tik išorinėje mokymo dalyje: vidinis 3 dalių vertinimas, 5 parametrų deriniai, atranka pagal AP. Slenkstis parenkamas iš out-of-fold prognozių pagal mažiausią kainą. Tokios prognozės gaunamos įrašams, kurių konkretus modelis nemokė. Kadangi parametrams ir slenksčiui naudojami tie patys vidiniai skaidymai, kokybei vertinti naudojami išoriniai rezultatai.</w:t>
      </w:r>
    </w:p>
    <w:p>
      <w:pPr>
        <w:widowControl/>
      </w:pPr>
      <w:r>
        <w:rPr>
          <w:color w:val="000000"/>
        </w:rPr>
        <w:t>Modelio šeima pasirenkama pagal vidutinę išorinę CV kainą, tada ji išmokoma visoje plėtros dalyje ir patikrinama galutiniame teste. Testas nenaudojamas parametrams ar slenksčiui parinkti. SVM transformacijos apmokomos atskirai ir kalibravimo skaidymuose.</w:t>
      </w:r>
    </w:p>
    <w:p>
      <w:r>
        <w:rPr>
          <w:color w:val="000000"/>
        </w:rPr>
        <w:br w:type="page"/>
      </w:r>
    </w:p>
    <w:p>
      <w:pPr>
        <w:pStyle w:val="Heading1"/>
      </w:pPr>
      <w:r>
        <w:rPr>
          <w:rFonts w:ascii="Arial" w:hAnsi="Arial"/>
          <w:color w:val="000000"/>
          <w:sz w:val="34"/>
        </w:rPr>
        <w:t>4 Įvestis išvestis ir pagrindinės formulės</w:t>
      </w:r>
    </w:p>
    <w:p>
      <w:pPr>
        <w:widowControl/>
      </w:pPr>
      <w:r>
        <w:rPr>
          <w:color w:val="000000"/>
        </w:rPr>
        <w:t>Įvestis – CSV su 20 požymių, kaip examples/applications.csv. Prognozuojant tikros klasės nereikia. Išvestis – eilutės numeris, bad_probability, threshold ir predicted_class. Pavyzdžiui, 0,20 įvertis esant 0,15 slenksčiui duoda bad. Trūkstant viso privalomo stulpelio grąžinama klaida, o tušti langeliai užpildomi išsaugotomis mokymo taisyklėmis.</w:t>
      </w:r>
    </w:p>
    <w:p>
      <w:pPr>
        <w:pStyle w:val="Heading2"/>
      </w:pPr>
      <w:r>
        <w:rPr>
          <w:rFonts w:ascii="Arial" w:hAnsi="Arial"/>
          <w:color w:val="000000"/>
          <w:sz w:val="24"/>
        </w:rPr>
        <w:t>Požymių paruošimas</w:t>
      </w:r>
    </w:p>
    <w:p>
      <w:pPr>
        <w:spacing w:after="160"/>
      </w:pPr>
      <m:oMath>
        <m:sSub>
          <m:e>
            <m:r>
              <m:t>z</m:t>
            </m:r>
          </m:e>
          <m:sub>
            <m:r>
              <m:t>j</m:t>
            </m:r>
          </m:sub>
        </m:sSub>
        <m:r>
          <m:t> = </m:t>
        </m:r>
        <m:f>
          <m:num>
            <m:sSub>
              <m:e>
                <m:r>
                  <m:t>x</m:t>
                </m:r>
              </m:e>
              <m:sub>
                <m:r>
                  <m:t>j</m:t>
                </m:r>
              </m:sub>
            </m:sSub>
            <m:r>
              <m:t> − </m:t>
            </m:r>
            <m:sSub>
              <m:e>
                <m:r>
                  <m:t>μ</m:t>
                </m:r>
              </m:e>
              <m:sub>
                <m:r>
                  <m:t>j</m:t>
                </m:r>
              </m:sub>
            </m:sSub>
          </m:num>
          <m:den>
            <m:sSub>
              <m:e>
                <m:r>
                  <m:t>σ</m:t>
                </m:r>
              </m:e>
              <m:sub>
                <m:r>
                  <m:t>j</m:t>
                </m:r>
              </m:sub>
            </m:sSub>
          </m:den>
        </m:f>
      </m:oMath>
    </w:p>
    <w:p>
      <w:pPr>
        <w:widowControl/>
      </w:pPr>
      <w:r>
        <w:rPr>
          <w:color w:val="000000"/>
        </w:rPr>
        <w:t>xⱼ – užpildyta įvesties reikšmė; μⱼ ir σⱼ – mokymo dalies vidurkis ir standartinis nuokrypis. Kategorijos koduojamos atskirais indikatoriais, pvz., own = (1,0), rent = (0,1). Kodo vieta: src/preprocess.py, make_preprocessor.</w:t>
      </w:r>
    </w:p>
    <w:p>
      <w:pPr>
        <w:pStyle w:val="Heading2"/>
      </w:pPr>
      <w:r>
        <w:rPr>
          <w:rFonts w:ascii="Arial" w:hAnsi="Arial"/>
          <w:color w:val="000000"/>
          <w:sz w:val="24"/>
        </w:rPr>
        <w:t>SVM balas ir tikimybė</w:t>
      </w:r>
    </w:p>
    <w:p>
      <w:pPr>
        <w:spacing w:after="160"/>
      </w:pPr>
      <m:oMath>
        <m:r>
          <m:t>K(z, </m:t>
        </m:r>
        <m:sSub>
          <m:e>
            <m:r>
              <m:t>z</m:t>
            </m:r>
          </m:e>
          <m:sub>
            <m:r>
              <m:t>i</m:t>
            </m:r>
          </m:sub>
        </m:sSub>
        <m:r>
          <m:t>) = exp(−γ </m:t>
        </m:r>
        <m:sSup>
          <m:e>
            <m:r>
              <m:t>‖z − </m:t>
            </m:r>
            <m:sSub>
              <m:e>
                <m:r>
                  <m:t>z</m:t>
                </m:r>
              </m:e>
              <m:sub>
                <m:r>
                  <m:t>i</m:t>
                </m:r>
              </m:sub>
            </m:sSub>
            <m:r>
              <m:t>‖</m:t>
            </m:r>
          </m:e>
          <m:sup>
            <m:r>
              <m:t>2</m:t>
            </m:r>
          </m:sup>
        </m:sSup>
        <m:r>
          <m:t>)</m:t>
        </m:r>
      </m:oMath>
    </w:p>
    <w:p>
      <w:pPr>
        <w:spacing w:after="160"/>
      </w:pPr>
      <m:oMath>
        <m:r>
          <m:t>f(z) = </m:t>
        </m:r>
        <m:sSub>
          <m:e>
            <m:r>
              <m:t>Σ</m:t>
            </m:r>
          </m:e>
          <m:sub>
            <m:r>
              <m:t>i</m:t>
            </m:r>
          </m:sub>
        </m:sSub>
        <m:sSub>
          <m:e>
            <m:r>
              <m:t>α</m:t>
            </m:r>
          </m:e>
          <m:sub>
            <m:r>
              <m:t>i</m:t>
            </m:r>
          </m:sub>
        </m:sSub>
        <m:sSub>
          <m:e>
            <m:r>
              <m:t>y</m:t>
            </m:r>
          </m:e>
          <m:sub>
            <m:r>
              <m:t>i</m:t>
            </m:r>
          </m:sub>
        </m:sSub>
        <m:r>
          <m:t> K(z, </m:t>
        </m:r>
        <m:sSub>
          <m:e>
            <m:r>
              <m:t>z</m:t>
            </m:r>
          </m:e>
          <m:sub>
            <m:r>
              <m:t>i</m:t>
            </m:r>
          </m:sub>
        </m:sSub>
        <m:r>
          <m:t>) + b</m:t>
        </m:r>
      </m:oMath>
    </w:p>
    <w:p>
      <w:pPr>
        <w:spacing w:after="160"/>
      </w:pPr>
      <m:oMath>
        <m:sSub>
          <m:e>
            <m:r>
              <m:t>p</m:t>
            </m:r>
          </m:e>
          <m:sub>
            <m:r>
              <m:t>bad</m:t>
            </m:r>
          </m:sub>
        </m:sSub>
        <m:r>
          <m:t>(z) = </m:t>
        </m:r>
        <m:f>
          <m:num>
            <m:r>
              <m:t>1</m:t>
            </m:r>
          </m:num>
          <m:den>
            <m:r>
              <m:t>1 + exp(A f(z) + B)</m:t>
            </m:r>
          </m:den>
        </m:f>
      </m:oMath>
    </w:p>
    <w:p>
      <w:pPr>
        <w:widowControl/>
      </w:pPr>
      <w:r>
        <w:rPr>
          <w:color w:val="000000"/>
        </w:rPr>
        <w:t>z – naujos paraiškos vektorius, zᵢ – atraminiai mokymo vektoriai, αᵢ ir b – išmokti dydžiai. γ valdo panašumo mažėjimą. SVM formulėje yᵢ žymi −1 arba +1; duomenyse klasės lieka 0 ir 1. A ir B išmokstami kalibruojant. Įgyvendinimas: src/models.py, SVC ir CalibratedClassifierCV.</w:t>
      </w:r>
    </w:p>
    <w:p>
      <w:pPr>
        <w:pStyle w:val="Heading2"/>
      </w:pPr>
      <w:r>
        <w:rPr>
          <w:rFonts w:ascii="Arial" w:hAnsi="Arial"/>
          <w:color w:val="000000"/>
          <w:sz w:val="24"/>
        </w:rPr>
        <w:t>Sprendimo slenkstis ir klaidų kaina</w:t>
      </w:r>
    </w:p>
    <w:p>
      <w:pPr>
        <w:spacing w:after="160"/>
      </w:pPr>
      <m:oMath>
        <m:r>
          <m:t>ŷ = I(</m:t>
        </m:r>
        <m:sSub>
          <m:e>
            <m:r>
              <m:t>p</m:t>
            </m:r>
          </m:e>
          <m:sub>
            <m:r>
              <m:t>bad</m:t>
            </m:r>
          </m:sub>
        </m:sSub>
        <m:r>
          <m:t> ≥ t)</m:t>
        </m:r>
      </m:oMath>
    </w:p>
    <w:p>
      <w:pPr>
        <w:spacing w:after="160"/>
      </w:pPr>
      <m:oMath>
        <m:r>
          <m:t>C(t) = </m:t>
        </m:r>
        <m:f>
          <m:num>
            <m:sSub>
              <m:e>
                <m:r>
                  <m:t>c</m:t>
                </m:r>
              </m:e>
              <m:sub>
                <m:r>
                  <m:t>FP</m:t>
                </m:r>
              </m:sub>
            </m:sSub>
            <m:r>
              <m:t> FP(t) + </m:t>
            </m:r>
            <m:sSub>
              <m:e>
                <m:r>
                  <m:t>c</m:t>
                </m:r>
              </m:e>
              <m:sub>
                <m:r>
                  <m:t>FN</m:t>
                </m:r>
              </m:sub>
            </m:sSub>
            <m:r>
              <m:t> FN(t)</m:t>
            </m:r>
          </m:num>
          <m:den>
            <m:r>
              <m:t>n</m:t>
            </m:r>
          </m:den>
        </m:f>
      </m:oMath>
    </w:p>
    <w:p>
      <w:pPr>
        <w:widowControl/>
      </w:pPr>
      <w:r>
        <w:rPr>
          <w:color w:val="000000"/>
        </w:rPr>
        <w:t>I grąžina 1, kai sąlyga tenkinama, kitaip 0. t – slenkstis; n – įrašų skaičius; c_FP = 1 ir c_FN = 5. Iš 0,01–0,99 tinklelio parenkamas mažiausią mokymo prognozių kainą duodantis slenkstis. Kodo vietos: expected_cost ir choose_cost_threshold faile src/evaluation.py.</w:t>
      </w:r>
    </w:p>
    <w:p>
      <w:pPr>
        <w:pStyle w:val="Heading2"/>
      </w:pPr>
      <w:r>
        <w:rPr>
          <w:rFonts w:ascii="Arial" w:hAnsi="Arial"/>
          <w:color w:val="000000"/>
          <w:sz w:val="24"/>
        </w:rPr>
        <w:t>Kaip skaitomi rodikliai</w:t>
      </w:r>
    </w:p>
    <w:p>
      <w:pPr>
        <w:widowControl/>
      </w:pPr>
      <w:r>
        <w:rPr>
          <w:color w:val="000000"/>
        </w:rPr>
        <w:t>Balanced accuracy yra bad aptikimo ir good atpažinimo dalių vidurkis; didesnė reikšmė geresnė. AP vertina, ar bad įrašai pagal riziką surikiuojami aukščiau; didesnė reikšmė geresnė. Brier yra vidutinė tikimybių kvadratinė paklaida; mažesnė geresnė. Failų pr_auc stulpelyje skaičiuojamas AP, ne trapecinis PR kreivės integralas.</w:t>
      </w:r>
    </w:p>
    <w:p>
      <w:r>
        <w:rPr>
          <w:color w:val="000000"/>
        </w:rPr>
        <w:br w:type="page"/>
      </w:r>
    </w:p>
    <w:p>
      <w:pPr>
        <w:pStyle w:val="Heading1"/>
      </w:pPr>
      <w:r>
        <w:rPr>
          <w:rFonts w:ascii="Arial" w:hAnsi="Arial"/>
          <w:color w:val="000000"/>
          <w:sz w:val="34"/>
        </w:rPr>
        <w:t>5 Rezultatai ir kodėl pasirinktas SVM</w:t>
      </w:r>
    </w:p>
    <w:tbl>
      <w:tblPr>
        <w:tblW w:type="auto" w:w="0"/>
        <w:jc w:val="center"/>
        <w:tblLayout w:type="fixed"/>
        <w:tblLook w:firstColumn="1" w:firstRow="1" w:lastColumn="0" w:lastRow="0" w:noHBand="0" w:noVBand="1" w:val="04A0"/>
      </w:tblPr>
      <w:tblGrid>
        <w:gridCol w:w="2160"/>
        <w:gridCol w:w="1483"/>
        <w:gridCol w:w="1483"/>
        <w:gridCol w:w="1483"/>
        <w:gridCol w:w="332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Metodas</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BA</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AP</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Brier</w:t>
            </w:r>
          </w:p>
        </w:tc>
        <w:tc>
          <w:tcPr>
            <w:tcW w:type="dxa" w:w="33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Kaina ± SD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SVM</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0,6647</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0,6051</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0,1695</w:t>
            </w:r>
          </w:p>
        </w:tc>
        <w:tc>
          <w:tcPr>
            <w:tcW w:type="dxa" w:w="33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0,5583 ± 0,0619</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MLP</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0,6349</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0,5724</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0,1791</w:t>
            </w:r>
          </w:p>
        </w:tc>
        <w:tc>
          <w:tcPr>
            <w:tcW w:type="dxa" w:w="33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0,5900 ± 0,0590</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Logistinė regresija</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0,6609</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0,6053</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0,1780</w:t>
            </w:r>
          </w:p>
        </w:tc>
        <w:tc>
          <w:tcPr>
            <w:tcW w:type="dxa" w:w="33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0,5925 ± 0,0776</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Fuzzy</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0,5948</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0,5122</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0,2498</w:t>
            </w:r>
          </w:p>
        </w:tc>
        <w:tc>
          <w:tcPr>
            <w:tcW w:type="dxa" w:w="33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0,6283 ± 0,0735</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Visada bad</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0,5000</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0,3000</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0,7000</w:t>
            </w:r>
          </w:p>
        </w:tc>
        <w:tc>
          <w:tcPr>
            <w:tcW w:type="dxa" w:w="33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0,7000 ± 0,0000</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Visada good</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0,5000</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0,3000</w:t>
            </w:r>
          </w:p>
        </w:tc>
        <w:tc>
          <w:tcPr>
            <w:tcW w:type="dxa" w:w="14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0,3000</w:t>
            </w:r>
          </w:p>
        </w:tc>
        <w:tc>
          <w:tcPr>
            <w:tcW w:type="dxa" w:w="33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1,5000 ± 0,0000</w:t>
            </w:r>
          </w:p>
        </w:tc>
      </w:tr>
    </w:tbl>
    <w:p>
      <w:pPr>
        <w:widowControl/>
        <w:spacing w:after="0"/>
      </w:pPr>
    </w:p>
    <w:p>
      <w:pPr>
        <w:widowControl/>
      </w:pPr>
      <w:r>
        <w:rPr>
          <w:color w:val="000000"/>
        </w:rPr>
        <w:t>Pateikti 15 išorinių skaidymų vidurkiai. SD rodo kainos sklaidą tarp skaidymų, o ne pasikliautinąjį intervalą.</w:t>
      </w:r>
    </w:p>
    <w:p>
      <w:pPr>
        <w:keepNext/>
      </w:pPr>
      <w:r>
        <w:rPr>
          <w:color w:val="000000"/>
        </w:rPr>
        <w:drawing>
          <wp:inline xmlns:a="http://schemas.openxmlformats.org/drawingml/2006/main" xmlns:pic="http://schemas.openxmlformats.org/drawingml/2006/picture">
            <wp:extent cx="5806440" cy="2565787"/>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806440" cy="2565787"/>
                    </a:xfrm>
                    <a:prstGeom prst="rect"/>
                  </pic:spPr>
                </pic:pic>
              </a:graphicData>
            </a:graphic>
          </wp:inline>
        </w:drawing>
      </w:r>
    </w:p>
    <w:p>
      <w:pPr>
        <w:pStyle w:val="Caption"/>
        <w:widowControl/>
      </w:pPr>
      <w:r>
        <w:rPr>
          <w:color w:val="000000"/>
        </w:rPr>
        <w:t>1 pav. Mažesnė klaidų kaina ir didesnis AP rodo geresnį rezultatą.</w:t>
      </w:r>
    </w:p>
    <w:p>
      <w:pPr>
        <w:widowControl/>
      </w:pPr>
      <w:r>
        <w:rPr>
          <w:color w:val="000000"/>
        </w:rPr>
        <w:t>Pasirinktas SVM: jo kaina 0,5583 yra mažiausia. Ji maždaug 5,8 % mažesnė nei logistinės regresijos ir mažesnė nei MLP bei fuzzy. SVM taip pat turi mažiausią Brier balą. Jo netiesinė riba leidžia aprašyti sąveikas be rankinio papildomų požymių kūrimo.</w:t>
      </w:r>
    </w:p>
    <w:p>
      <w:pPr>
        <w:widowControl/>
      </w:pPr>
      <w:r>
        <w:rPr>
          <w:color w:val="000000"/>
        </w:rPr>
        <w:t>Pagal AP SVM ir logistinė regresija beveik vienodi. Todėl SVM nelaikomas geriausiu pagal visus rodiklius, o statistinis jo pranašumas neteigtas. Logistinė regresija lieka paprastesnė alternatyva. MLP rezultatą galėjo riboti maža imtis ir nedidelė parametrų paieška, fuzzy – rankiniai svoriai. Tai tik šio eksperimento paaiškinimas, ne bendras metodų reitingas.</w:t>
      </w:r>
    </w:p>
    <w:p>
      <w:pPr>
        <w:widowControl/>
      </w:pPr>
      <w:r>
        <w:rPr>
          <w:color w:val="000000"/>
        </w:rPr>
        <w:t>Galutinio SVM parametrai: RBF branduolys, C = 0,215443469, γ = 0,05, klasių svoriai balanced, sigmoidinė kalibracija. Pasirinktas sprendimo slenkstis – 0,15.</w:t>
      </w:r>
    </w:p>
    <w:p>
      <w:r>
        <w:rPr>
          <w:color w:val="000000"/>
        </w:rPr>
        <w:br w:type="page"/>
      </w:r>
    </w:p>
    <w:p>
      <w:pPr>
        <w:pStyle w:val="Heading1"/>
      </w:pPr>
      <w:r>
        <w:rPr>
          <w:rFonts w:ascii="Arial" w:hAnsi="Arial"/>
          <w:color w:val="000000"/>
          <w:sz w:val="34"/>
        </w:rPr>
        <w:t>6 Ką reiškia galutinis rezultatas</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Tikra klasė</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Prognozė good</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Prognozė bad</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good</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TN = 50</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FP = 90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bad</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FN = 3</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TP = 57</w:t>
            </w:r>
          </w:p>
        </w:tc>
      </w:tr>
    </w:tbl>
    <w:p>
      <w:pPr>
        <w:widowControl/>
        <w:spacing w:after="0"/>
      </w:pPr>
    </w:p>
    <w:p>
      <w:pPr>
        <w:widowControl/>
      </w:pPr>
      <w:r>
        <w:rPr>
          <w:color w:val="000000"/>
        </w:rPr>
        <w:t>200 įrašų teste aptikti 57 iš 60 bad atvejų, t. y. 95 %. Tačiau klaidingai atmesta 90 iš 140 good atvejų, t. y. 64,3 %. Galutinė BA = 0,6536, AP = 0,6784, Brier = 0,1528. Kaina: (90 + 5 × 3) / 200 = 0,525 sąlyginio vieneto paraiškai.</w:t>
      </w:r>
    </w:p>
    <w:tbl>
      <w:tblPr>
        <w:tblW w:type="auto" w:w="0"/>
        <w:jc w:val="center"/>
        <w:tblLayout w:type="fixed"/>
        <w:tblLook w:firstColumn="1" w:firstRow="1" w:lastColumn="0" w:lastRow="0" w:noHBand="0" w:noVBand="1" w:val="04A0"/>
      </w:tblPr>
      <w:tblGrid>
        <w:gridCol w:w="1440"/>
        <w:gridCol w:w="1440"/>
        <w:gridCol w:w="1440"/>
        <w:gridCol w:w="3456"/>
        <w:gridCol w:w="2160"/>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Slenkstis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FP</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FN</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Bendras tikslumas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Kaina</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0,15</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90</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3</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53,5 %</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0,525</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0,50</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19</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24</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78,5 %</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0,695</w:t>
            </w:r>
          </w:p>
        </w:tc>
      </w:tr>
    </w:tbl>
    <w:p>
      <w:pPr>
        <w:widowControl/>
        <w:spacing w:after="0"/>
      </w:pPr>
    </w:p>
    <w:p>
      <w:pPr>
        <w:widowControl/>
      </w:pPr>
      <w:r>
        <w:rPr>
          <w:color w:val="000000"/>
        </w:rPr>
        <w:t>Padidinus slenkstį, bendras tikslumas pagerėja, tačiau praleidžiama daugiau brangiai kainuojančių bad atvejų. Todėl kaina padidėja. Lentelė skirta slenksčio poveikiui paaiškinti; pagal galutinį testą slenkstis neperrenkamas.</w:t>
      </w:r>
    </w:p>
    <w:p>
      <w:pPr>
        <w:pStyle w:val="Heading2"/>
      </w:pPr>
      <w:r>
        <w:rPr>
          <w:rFonts w:ascii="Arial" w:hAnsi="Arial"/>
          <w:color w:val="000000"/>
          <w:sz w:val="24"/>
        </w:rPr>
        <w:t>Papildomi patikrinimai</w:t>
      </w:r>
    </w:p>
    <w:tbl>
      <w:tblPr>
        <w:tblW w:type="auto" w:w="0"/>
        <w:jc w:val="center"/>
        <w:tblLayout w:type="fixed"/>
        <w:tblLook w:firstColumn="1" w:firstRow="1" w:lastColumn="0" w:lastRow="0" w:noHBand="0" w:noVBand="1" w:val="04A0"/>
      </w:tblPr>
      <w:tblGrid>
        <w:gridCol w:w="3888"/>
        <w:gridCol w:w="1512"/>
        <w:gridCol w:w="1512"/>
        <w:gridCol w:w="1512"/>
        <w:gridCol w:w="1512"/>
      </w:tblGrid>
      <w:tr>
        <w:trPr>
          <w:cantSplit/>
          <w:tblHeader/>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Bandymas</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BA</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AP</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Brier</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1"/>
          </w:tcPr>
          <w:p>
            <w:pPr>
              <w:spacing w:after="20" w:line="250" w:lineRule="auto"/>
            </w:pPr>
            <w:r>
              <w:rPr>
                <w:b/>
                <w:sz w:val="19"/>
              </w:rPr>
              <w:t>Kaina</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Be age ir personal_status</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0,674</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0,650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0,160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0,510</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5 % trūkstamų reikšmių</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0,657</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0,662</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0,155</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0,520</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10 % trūkstamų reikšmių</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0,663</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0,658</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0,154</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50" w:lineRule="auto"/>
            </w:pPr>
            <w:r>
              <w:rPr>
                <w:b w:val="0"/>
                <w:sz w:val="19"/>
              </w:rPr>
              <w:t>0,525</w:t>
            </w:r>
          </w:p>
        </w:tc>
      </w:tr>
    </w:tbl>
    <w:p>
      <w:pPr>
        <w:widowControl/>
        <w:spacing w:after="0"/>
      </w:pPr>
    </w:p>
    <w:p>
      <w:pPr>
        <w:widowControl/>
      </w:pPr>
      <w:r>
        <w:rPr>
          <w:color w:val="000000"/>
        </w:rPr>
        <w:t>Pašalinus amžių ir asmeninę būseną kaina sumažėjo, bet AP ir Brier pablogėjo: pagerėjo ne visos savybės. Variantas pagal testo rezultatą neperrenkamas. Atsitiktinai pašalinus 5 % ir 10 % reikšmių programa veikė, kaina beveik nesikeitė. Kiekvienai daliai atliktas vienas bandymas, todėl tai ribotas atsparumo patikrinimas.</w:t>
      </w:r>
    </w:p>
    <w:p>
      <w:pPr>
        <w:widowControl/>
      </w:pPr>
      <w:r>
        <w:rPr>
          <w:color w:val="000000"/>
        </w:rPr>
        <w:t>Klaidos pavyzdys: 409 eilutė iš tikrųjų yra bad, bet gavo 0,123 įvertį ir buvo priskirta good. 286 eilutė yra good, bet gavo apie 0,690 ir buvo priskirta bad. Tai rinkinio indeksai, ne klientų tapatybės. Pavyzdžiai parodo klaidas, bet ne jų priežastis.</w:t>
      </w:r>
    </w:p>
    <w:p>
      <w:pPr>
        <w:widowControl/>
      </w:pPr>
      <w:r>
        <w:rPr>
          <w:color w:val="000000"/>
        </w:rPr>
        <w:t>Iki 25 metų grupėje good atmetimo dalis buvo 84,6 %, vyresnėje – 62,2 %. Tačiau jaunesnėje grupėje tik 26 įrašai, todėl stiprios išvados negalimos. Kalibracijos grafikas taip pat rodo nukrypimus: tikimybės nėra tobulai tikslios. Išsamios lentelės ir kalibracijos grafikas pateikti rezultatų HTML peržiūroje.</w:t>
      </w:r>
    </w:p>
    <w:p>
      <w:r>
        <w:rPr>
          <w:color w:val="000000"/>
        </w:rPr>
        <w:br w:type="page"/>
      </w:r>
    </w:p>
    <w:p>
      <w:pPr>
        <w:pStyle w:val="Heading1"/>
      </w:pPr>
      <w:r>
        <w:rPr>
          <w:rFonts w:ascii="Arial" w:hAnsi="Arial"/>
          <w:color w:val="000000"/>
          <w:sz w:val="34"/>
        </w:rPr>
        <w:t>7 Trumpa išvada ir literatūra</w:t>
      </w:r>
    </w:p>
    <w:p>
      <w:pPr>
        <w:widowControl/>
      </w:pPr>
      <w:r>
        <w:rPr>
          <w:color w:val="000000"/>
        </w:rPr>
        <w:t>Sukurtas veikiantis kredito rizikos prototipas, kuris paruošia duomenis, palygina metodus ir prognozuoja naujas paraiškas. Patikrinti 11 automatinių testų, pilnas eksperimentas ir naujų įrašų prognozavimas.</w:t>
      </w:r>
    </w:p>
    <w:p>
      <w:pPr>
        <w:widowControl/>
      </w:pPr>
      <w:r>
        <w:rPr>
          <w:color w:val="000000"/>
        </w:rPr>
        <w:t>SVM pasirinktas pagal mažiausią vidutinę klaidų kainą, kai FN kainuoja penkis kartus daugiau nei FP. Jo rezultatas parodo aiškų kompromisą: aptinkama daug bad atvejų, bet kartu atmetama daug good. Todėl vienas geras rodiklis nepakankamas visam sprendimui įvertinti.</w:t>
      </w:r>
    </w:p>
    <w:p>
      <w:pPr>
        <w:widowControl/>
      </w:pPr>
      <w:r>
        <w:rPr>
          <w:color w:val="000000"/>
        </w:rPr>
        <w:t>Ribos: nedidelis istorinis rinkinys, demonstracinės klaidų kainos, ribota parametrų paieška ir mažos audito grupės. Tas pats galutinio testo skaidymas buvo naudotas ankstesnėje projekto versijoje, todėl pakartotinis paleidimas nėra naujas nepriklausomas tyrimas. Rezultatai nepagrindžia tiesioginio naudojimo realioms paskoloms spręsti.</w:t>
      </w:r>
    </w:p>
    <w:p>
      <w:pPr>
        <w:pStyle w:val="Heading2"/>
      </w:pPr>
      <w:r>
        <w:rPr>
          <w:rFonts w:ascii="Arial" w:hAnsi="Arial"/>
          <w:color w:val="000000"/>
          <w:sz w:val="24"/>
        </w:rPr>
        <w:t>Literatūra</w:t>
      </w:r>
    </w:p>
    <w:p>
      <w:pPr>
        <w:widowControl/>
      </w:pPr>
      <w:r>
        <w:rPr>
          <w:color w:val="000000"/>
        </w:rPr>
        <w:t>[1] OpenML. credit-g, ID 31. https://www.openml.org/d/31. Pirminis rinkinys: UCI Statlog German Credit Data, https://archive.ics.uci.edu/dataset/144/statlog+german+credit+data</w:t>
      </w:r>
    </w:p>
    <w:p>
      <w:pPr>
        <w:widowControl/>
      </w:pPr>
      <w:r>
        <w:rPr>
          <w:color w:val="000000"/>
        </w:rPr>
        <w:t>[2] Lessmann, S., Baesens, B., Seow, H. V., Thomas, L. C. (2015). Benchmarking state-of-the-art classification algorithms for credit scoring: An update of research. European Journal of Operational Research, 247(1), 124–136. DOI: 10.1016/j.ejor.2015.05.030.</w:t>
      </w:r>
    </w:p>
    <w:p>
      <w:pPr>
        <w:widowControl/>
      </w:pPr>
      <w:r>
        <w:rPr>
          <w:color w:val="000000"/>
        </w:rPr>
        <w:t>[3] Cortes, C., Vapnik, V. (1995). Support-vector networks. Machine Learning, 20, 273–297. DOI: 10.1007/BF00994018.</w:t>
      </w:r>
    </w:p>
    <w:p>
      <w:pPr>
        <w:widowControl/>
      </w:pPr>
      <w:r>
        <w:rPr>
          <w:color w:val="000000"/>
        </w:rPr>
        <w:t>[4] Zadeh, L. A. (1965). Fuzzy sets. Information and Control, 8(3), 338–353. DOI: 10.1016/S0019-9958(65)90241-X.</w:t>
      </w:r>
    </w:p>
    <w:p>
      <w:pPr>
        <w:widowControl/>
      </w:pPr>
      <w:r>
        <w:rPr>
          <w:color w:val="000000"/>
        </w:rPr>
        <w:t>[5] Cybenko, G. (1989). Approximation by superpositions of a sigmoidal function. Mathematics of Control, Signals, and Systems, 2, 303–314. DOI: 10.1007/BF02551274.</w:t>
      </w:r>
    </w:p>
    <w:p>
      <w:pPr>
        <w:widowControl/>
      </w:pPr>
      <w:r>
        <w:rPr>
          <w:color w:val="000000"/>
        </w:rPr>
        <w:t>[6] Scikit-learn. CalibratedClassifierCV dokumentacija. https://scikit-learn.org/stable/modules/generated/sklearn.calibration.CalibratedClassifierCV.html</w:t>
      </w:r>
    </w:p>
    <w:p>
      <w:pPr>
        <w:pStyle w:val="Heading2"/>
      </w:pPr>
      <w:r>
        <w:rPr>
          <w:rFonts w:ascii="Arial" w:hAnsi="Arial"/>
          <w:color w:val="000000"/>
          <w:sz w:val="24"/>
        </w:rPr>
        <w:t>Darbo failai</w:t>
      </w:r>
    </w:p>
    <w:p>
      <w:pPr>
        <w:widowControl/>
      </w:pPr>
      <w:r>
        <w:rPr>
          <w:color w:val="000000"/>
        </w:rPr>
        <w:t>Saugykla: https://github.com/KarolisLLL/IS_EXAM</w:t>
        <w:br/>
        <w:t>Kodas – src; nustatymai – config; pagrindiniai rezultatai – results/final. Paleidimo instrukcija pateikta README.md. Ši ataskaita aprašo pilną eksperimentą; greito režimo rezultatai gali skirtis.</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Karolis Lapinskas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0" w:after="140" w:line="259" w:lineRule="auto"/>
      <w:outlineLvl w:val="0"/>
    </w:pPr>
    <w:rPr>
      <w:rFonts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59"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b/>
      <w:bCs/>
      <w:color w:val="000000"/>
      <w:sz w:val="28"/>
      <w:szCs w:val="28"/>
    </w:rPr>
  </w:style>
  <w:style w:type="character" w:customStyle="1" w:styleId="Heading2Char">
    <w:name w:val="Heading 2 Char"/>
    <w:basedOn w:val="DefaultParagraphFont"/>
    <w:link w:val="Heading2"/>
    <w:uiPriority w:val="9"/>
    <w:rsid w:val="00FC693F"/>
    <w:rPr>
      <w:rFonts/>
      <w:b/>
      <w:bCs/>
      <w:color w:val="000000"/>
      <w:sz w:val="26"/>
      <w:szCs w:val="26"/>
    </w:rPr>
  </w:style>
  <w:style w:type="character" w:customStyle="1" w:styleId="Heading3Char">
    <w:name w:val="Heading 3 Char"/>
    <w:basedOn w:val="DefaultParagraphFont"/>
    <w:link w:val="Heading3"/>
    <w:uiPriority w:val="9"/>
    <w:rsid w:val="00FC693F"/>
    <w:rPr>
      <w:rFonts/>
      <w:b/>
      <w:bCs/>
      <w:color w:val="000000"/>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bCs/>
      <w:i/>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Kredito paraiškų rizikos klasifikavimo galutinė ataskaita</dc:title>
  <dc:subject>PEPfm-26 Intelektualiosios sistemos</dc:subject>
  <dc:creator>Karolis Lapinskas</dc:creator>
  <cp:keywords/>
  <dc:description>generated by python-docx</dc:description>
  <cp:lastModifiedBy/>
  <cp:revision>1</cp:revision>
  <dcterms:created xsi:type="dcterms:W3CDTF">2013-12-23T23:15:00Z</dcterms:created>
  <dcterms:modified xsi:type="dcterms:W3CDTF">2013-12-23T23:15:00Z</dcterms:modified>
  <cp:category/>
</cp:coreProperties>
</file>