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2C6408" w14:textId="153C4A15" w:rsidR="00BF14CB" w:rsidRPr="00BF14CB" w:rsidRDefault="00BF14CB" w:rsidP="00BF14CB">
      <w:pPr>
        <w:jc w:val="center"/>
        <w:rPr>
          <w:rFonts w:ascii="Times New Roman" w:hAnsi="Times New Roman" w:cs="Times New Roman"/>
          <w:b/>
          <w:bCs/>
          <w:lang w:val="es-ES"/>
        </w:rPr>
      </w:pPr>
      <w:r>
        <w:rPr>
          <w:rFonts w:ascii="Times New Roman" w:hAnsi="Times New Roman" w:cs="Times New Roman"/>
          <w:b/>
          <w:bCs/>
          <w:lang w:val="es-ES"/>
        </w:rPr>
        <w:t xml:space="preserve">3.4 </w:t>
      </w:r>
      <w:r w:rsidRPr="00BF14CB">
        <w:rPr>
          <w:rFonts w:ascii="Times New Roman" w:hAnsi="Times New Roman" w:cs="Times New Roman"/>
          <w:b/>
          <w:bCs/>
          <w:lang w:val="es-ES"/>
        </w:rPr>
        <w:t xml:space="preserve">Propuesta de </w:t>
      </w:r>
      <w:proofErr w:type="spellStart"/>
      <w:r w:rsidRPr="00BF14CB">
        <w:rPr>
          <w:rFonts w:ascii="Times New Roman" w:hAnsi="Times New Roman" w:cs="Times New Roman"/>
          <w:b/>
          <w:bCs/>
          <w:lang w:val="es-ES"/>
        </w:rPr>
        <w:t>innovacion</w:t>
      </w:r>
      <w:proofErr w:type="spellEnd"/>
    </w:p>
    <w:p w14:paraId="6E17D249" w14:textId="47046831" w:rsidR="00BF14CB" w:rsidRPr="00BF14CB" w:rsidRDefault="00BF14CB" w:rsidP="00BF14CB">
      <w:pPr>
        <w:rPr>
          <w:rFonts w:ascii="Times New Roman" w:hAnsi="Times New Roman" w:cs="Times New Roman"/>
          <w:lang w:val="es-ES"/>
        </w:rPr>
      </w:pPr>
      <w:r w:rsidRPr="00BF14CB">
        <w:rPr>
          <w:rFonts w:ascii="Times New Roman" w:hAnsi="Times New Roman" w:cs="Times New Roman"/>
          <w:lang w:val="es-ES"/>
        </w:rPr>
        <w:t xml:space="preserve"> </w:t>
      </w:r>
      <w:r w:rsidRPr="00BF14CB">
        <w:rPr>
          <w:rFonts w:ascii="Times New Roman" w:hAnsi="Times New Roman" w:cs="Times New Roman"/>
          <w:lang w:val="es-ES"/>
        </w:rPr>
        <w:t>En el entorno doméstico, una parte significativa de los usuarios especialmente personas con fuerza de agarre reducida, adultos mayores o quienes buscan máxima eficiencia en la cocina</w:t>
      </w:r>
      <w:r>
        <w:rPr>
          <w:rFonts w:ascii="Times New Roman" w:hAnsi="Times New Roman" w:cs="Times New Roman"/>
          <w:lang w:val="es-ES"/>
        </w:rPr>
        <w:t xml:space="preserve"> </w:t>
      </w:r>
      <w:r w:rsidRPr="00BF14CB">
        <w:rPr>
          <w:rFonts w:ascii="Times New Roman" w:hAnsi="Times New Roman" w:cs="Times New Roman"/>
          <w:lang w:val="es-ES"/>
        </w:rPr>
        <w:t>experimentan constante dificultad y frustración al intentar abrir recipientes sellados herméticamente. La necesidad encontrada radica en la falta de herramientas inclusivas que permitan acceder a alimentos y productos envasados sin depender de una fuerza manual considerable ni de asistencia externa. El problema que los objetivos ayudaría a resolver abarca las severas limitaciones de los utensilios actuales: mecanismos de bloqueo complejos que ralentizan el uso, cuerpos rígidos y voluminosos que ocupan espacio excesivo en los cajones, y mangos resbaladizos que exigen un sobreesfuerzo muscular constante, restringiendo además su utilidad a un único tamaño o tipo de tapa.</w:t>
      </w:r>
    </w:p>
    <w:p w14:paraId="22EB2E96" w14:textId="77777777" w:rsidR="00BF14CB" w:rsidRPr="00BF14CB" w:rsidRDefault="00BF14CB" w:rsidP="00BF14CB">
      <w:pPr>
        <w:rPr>
          <w:rFonts w:ascii="Times New Roman" w:hAnsi="Times New Roman" w:cs="Times New Roman"/>
          <w:lang w:val="es-ES"/>
        </w:rPr>
      </w:pPr>
    </w:p>
    <w:p w14:paraId="3366F1E8" w14:textId="77777777" w:rsidR="00BF14CB" w:rsidRPr="00BF14CB" w:rsidRDefault="00BF14CB" w:rsidP="00BF14CB">
      <w:pPr>
        <w:rPr>
          <w:rFonts w:ascii="Times New Roman" w:hAnsi="Times New Roman" w:cs="Times New Roman"/>
          <w:lang w:val="es-ES"/>
        </w:rPr>
      </w:pPr>
      <w:r w:rsidRPr="00BF14CB">
        <w:rPr>
          <w:rFonts w:ascii="Times New Roman" w:hAnsi="Times New Roman" w:cs="Times New Roman"/>
          <w:lang w:val="es-ES"/>
        </w:rPr>
        <w:t xml:space="preserve">Para transformar esta realidad, nuestro enfoque de innovación con </w:t>
      </w:r>
      <w:proofErr w:type="spellStart"/>
      <w:r w:rsidRPr="00BF14CB">
        <w:rPr>
          <w:rFonts w:ascii="Times New Roman" w:hAnsi="Times New Roman" w:cs="Times New Roman"/>
          <w:lang w:val="es-ES"/>
        </w:rPr>
        <w:t>DestaFlex</w:t>
      </w:r>
      <w:proofErr w:type="spellEnd"/>
      <w:r w:rsidRPr="00BF14CB">
        <w:rPr>
          <w:rFonts w:ascii="Times New Roman" w:hAnsi="Times New Roman" w:cs="Times New Roman"/>
          <w:lang w:val="es-ES"/>
        </w:rPr>
        <w:t xml:space="preserve"> rediseña la interacción mecánica a través de cuatro avances estratégicos: un sistema de bloqueo dinámico de acople rápido en un solo toque, una estructura volumétrica retráctil y altamente compacta, un mango ergonómico con recubrimiento de alta fricción que optimiza la palanca, y la integración multifuncional para </w:t>
      </w:r>
      <w:proofErr w:type="spellStart"/>
      <w:r w:rsidRPr="00BF14CB">
        <w:rPr>
          <w:rFonts w:ascii="Times New Roman" w:hAnsi="Times New Roman" w:cs="Times New Roman"/>
          <w:lang w:val="es-ES"/>
        </w:rPr>
        <w:t>aperturar</w:t>
      </w:r>
      <w:proofErr w:type="spellEnd"/>
      <w:r w:rsidRPr="00BF14CB">
        <w:rPr>
          <w:rFonts w:ascii="Times New Roman" w:hAnsi="Times New Roman" w:cs="Times New Roman"/>
          <w:lang w:val="es-ES"/>
        </w:rPr>
        <w:t xml:space="preserve"> botellas, latas o empaques al vacío en el mismo dispositivo. Este desarrollo no solo busca modernizar la estética del producto, sino reconfigurar por completo la eficiencia táctil y la practicidad operacional del usuario dentro del hogar.</w:t>
      </w:r>
    </w:p>
    <w:p w14:paraId="0F5B1AB7" w14:textId="77777777" w:rsidR="00BF14CB" w:rsidRPr="00BF14CB" w:rsidRDefault="00BF14CB" w:rsidP="00BF14CB">
      <w:pPr>
        <w:rPr>
          <w:rFonts w:ascii="Times New Roman" w:hAnsi="Times New Roman" w:cs="Times New Roman"/>
          <w:lang w:val="es-ES"/>
        </w:rPr>
      </w:pPr>
    </w:p>
    <w:p w14:paraId="61268017" w14:textId="351C9242" w:rsidR="00F11DBB" w:rsidRPr="00BF14CB" w:rsidRDefault="00BF14CB" w:rsidP="00BF14CB">
      <w:pPr>
        <w:rPr>
          <w:rFonts w:ascii="Times New Roman" w:hAnsi="Times New Roman" w:cs="Times New Roman"/>
          <w:lang w:val="es-ES"/>
        </w:rPr>
      </w:pPr>
      <w:r w:rsidRPr="00BF14CB">
        <w:rPr>
          <w:rFonts w:ascii="Times New Roman" w:hAnsi="Times New Roman" w:cs="Times New Roman"/>
          <w:lang w:val="es-ES"/>
        </w:rPr>
        <w:t>Finalmente, los beneficios que se esperan generar se traducen en un impacto directo sobre la calidad de vida y la usabilidad cotidiana. Al eliminar la fricción física y los pasos innecesarios, se garantiza una total autonomía para cualquier perfil de usuario, reduciendo drásticamente el tiempo de preparación en la cocina. Asimismo, el formato compacto optimiza el almacenamiento en espacios reducidos, ofreciendo un utensilio versátil y duradero que sustituye múltiples herramientas en una sola solución integral de alto valor percibido.</w:t>
      </w:r>
    </w:p>
    <w:p w14:paraId="73DE4902" w14:textId="77777777" w:rsidR="00BF14CB" w:rsidRPr="00BF14CB" w:rsidRDefault="00BF14CB" w:rsidP="00BF14CB">
      <w:pPr>
        <w:jc w:val="center"/>
        <w:rPr>
          <w:rFonts w:ascii="Times New Roman" w:hAnsi="Times New Roman" w:cs="Times New Roman"/>
          <w:lang w:val="es-ES"/>
        </w:rPr>
      </w:pPr>
    </w:p>
    <w:sectPr w:rsidR="00BF14CB" w:rsidRPr="00BF14C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14CB"/>
    <w:rsid w:val="000A47A7"/>
    <w:rsid w:val="003A7E0F"/>
    <w:rsid w:val="0045761D"/>
    <w:rsid w:val="005D39C1"/>
    <w:rsid w:val="00BF14CB"/>
    <w:rsid w:val="00DF42A1"/>
    <w:rsid w:val="00F11D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188FF4"/>
  <w15:chartTrackingRefBased/>
  <w15:docId w15:val="{4C3D06F8-632F-417B-967A-A0E280E572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F14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F14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F14C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F14C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F14C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F14C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F14C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F14C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F14C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F14C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F14C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F14C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F14C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F14C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F14C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F14C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F14C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F14CB"/>
    <w:rPr>
      <w:rFonts w:eastAsiaTheme="majorEastAsia" w:cstheme="majorBidi"/>
      <w:color w:val="272727" w:themeColor="text1" w:themeTint="D8"/>
    </w:rPr>
  </w:style>
  <w:style w:type="paragraph" w:styleId="Ttulo">
    <w:name w:val="Title"/>
    <w:basedOn w:val="Normal"/>
    <w:next w:val="Normal"/>
    <w:link w:val="TtuloCar"/>
    <w:uiPriority w:val="10"/>
    <w:qFormat/>
    <w:rsid w:val="00BF14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F14C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F14C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F14C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F14CB"/>
    <w:pPr>
      <w:spacing w:before="160"/>
      <w:jc w:val="center"/>
    </w:pPr>
    <w:rPr>
      <w:i/>
      <w:iCs/>
      <w:color w:val="404040" w:themeColor="text1" w:themeTint="BF"/>
    </w:rPr>
  </w:style>
  <w:style w:type="character" w:customStyle="1" w:styleId="CitaCar">
    <w:name w:val="Cita Car"/>
    <w:basedOn w:val="Fuentedeprrafopredeter"/>
    <w:link w:val="Cita"/>
    <w:uiPriority w:val="29"/>
    <w:rsid w:val="00BF14CB"/>
    <w:rPr>
      <w:i/>
      <w:iCs/>
      <w:color w:val="404040" w:themeColor="text1" w:themeTint="BF"/>
    </w:rPr>
  </w:style>
  <w:style w:type="paragraph" w:styleId="Prrafodelista">
    <w:name w:val="List Paragraph"/>
    <w:basedOn w:val="Normal"/>
    <w:uiPriority w:val="34"/>
    <w:qFormat/>
    <w:rsid w:val="00BF14CB"/>
    <w:pPr>
      <w:ind w:left="720"/>
      <w:contextualSpacing/>
    </w:pPr>
  </w:style>
  <w:style w:type="character" w:styleId="nfasisintenso">
    <w:name w:val="Intense Emphasis"/>
    <w:basedOn w:val="Fuentedeprrafopredeter"/>
    <w:uiPriority w:val="21"/>
    <w:qFormat/>
    <w:rsid w:val="00BF14CB"/>
    <w:rPr>
      <w:i/>
      <w:iCs/>
      <w:color w:val="0F4761" w:themeColor="accent1" w:themeShade="BF"/>
    </w:rPr>
  </w:style>
  <w:style w:type="paragraph" w:styleId="Citadestacada">
    <w:name w:val="Intense Quote"/>
    <w:basedOn w:val="Normal"/>
    <w:next w:val="Normal"/>
    <w:link w:val="CitadestacadaCar"/>
    <w:uiPriority w:val="30"/>
    <w:qFormat/>
    <w:rsid w:val="00BF14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F14CB"/>
    <w:rPr>
      <w:i/>
      <w:iCs/>
      <w:color w:val="0F4761" w:themeColor="accent1" w:themeShade="BF"/>
    </w:rPr>
  </w:style>
  <w:style w:type="character" w:styleId="Referenciaintensa">
    <w:name w:val="Intense Reference"/>
    <w:basedOn w:val="Fuentedeprrafopredeter"/>
    <w:uiPriority w:val="32"/>
    <w:qFormat/>
    <w:rsid w:val="00BF14C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309</Words>
  <Characters>1764</Characters>
  <Application>Microsoft Office Word</Application>
  <DocSecurity>0</DocSecurity>
  <Lines>14</Lines>
  <Paragraphs>4</Paragraphs>
  <ScaleCrop>false</ScaleCrop>
  <Company/>
  <LinksUpToDate>false</LinksUpToDate>
  <CharactersWithSpaces>2069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Javier Enmanuel Perez Millan</dc:creator>
  <cp:keywords/>
  <dc:description/>
  <cp:lastModifiedBy>Javier Enmanuel Perez Millan</cp:lastModifiedBy>
  <cp:revision>1</cp:revision>
  <dcterms:created xsi:type="dcterms:W3CDTF">2026-08-16T20:11:00Z</dcterms:created>
  <dcterms:modified xsi:type="dcterms:W3CDTF">2026-08-16T20:13:00Z</dcterms:modified>
</cp:coreProperties>
</file>