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IN"/>
        </w:rPr>
      </w:pPr>
    </w:p>
    <w:p>
      <w:pPr>
        <w:jc w:val="center"/>
        <w:rPr>
          <w:rFonts w:hint="default"/>
          <w:b/>
          <w:bCs/>
          <w:sz w:val="32"/>
          <w:szCs w:val="32"/>
          <w:lang w:val="en-IN"/>
        </w:rPr>
      </w:pPr>
      <w:r>
        <w:rPr>
          <w:rFonts w:hint="default"/>
          <w:b/>
          <w:bCs/>
          <w:sz w:val="32"/>
          <w:szCs w:val="32"/>
          <w:lang w:val="en-IN"/>
        </w:rPr>
        <w:t>Analysis of Central Tendency</w:t>
      </w:r>
    </w:p>
    <w:p>
      <w:pPr>
        <w:rPr>
          <w:rFonts w:hint="default"/>
          <w:lang w:val="en-IN"/>
        </w:rPr>
      </w:pPr>
    </w:p>
    <w:p>
      <w:pPr>
        <w:rPr>
          <w:rFonts w:hint="default"/>
          <w:sz w:val="24"/>
          <w:szCs w:val="24"/>
          <w:lang w:val="en-IN"/>
        </w:rPr>
      </w:pPr>
      <w:r>
        <w:rPr>
          <w:rFonts w:hint="default"/>
          <w:sz w:val="24"/>
          <w:szCs w:val="24"/>
          <w:lang w:val="en-IN"/>
        </w:rPr>
        <w:t>We have analyzed the data of college dataset by finding the mean,median,mode and percentile information</w:t>
      </w:r>
      <w:bookmarkStart w:id="0" w:name="_GoBack"/>
      <w:bookmarkEnd w:id="0"/>
      <w:r>
        <w:rPr>
          <w:rFonts w:hint="default"/>
          <w:sz w:val="24"/>
          <w:szCs w:val="24"/>
          <w:lang w:val="en-IN"/>
        </w:rPr>
        <w:t xml:space="preserve"> are as follows:</w:t>
      </w:r>
    </w:p>
    <w:p>
      <w:pPr>
        <w:rPr>
          <w:rFonts w:hint="default"/>
          <w:sz w:val="24"/>
          <w:szCs w:val="24"/>
          <w:lang w:val="en-IN"/>
        </w:rPr>
      </w:pPr>
      <w:r>
        <w:rPr>
          <w:rFonts w:hint="default"/>
          <w:sz w:val="24"/>
          <w:szCs w:val="24"/>
          <w:lang w:val="en-IN"/>
        </w:rPr>
        <w:t xml:space="preserve"> </w:t>
      </w:r>
    </w:p>
    <w:tbl>
      <w:tblPr>
        <w:tblW w:w="8387"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50"/>
        <w:gridCol w:w="960"/>
        <w:gridCol w:w="960"/>
        <w:gridCol w:w="960"/>
        <w:gridCol w:w="1077"/>
        <w:gridCol w:w="960"/>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155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Measure of CT</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sl_no</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ssc_p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hsc_p</w:t>
            </w:r>
          </w:p>
        </w:tc>
        <w:tc>
          <w:tcPr>
            <w:tcW w:w="107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degree_p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etest_p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mba_p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salary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Mean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108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67.3034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66.3332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66.3702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72.1006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62.2782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eastAsiaTheme="minorEastAsia"/>
                <w:i w:val="0"/>
                <w:iCs w:val="0"/>
                <w:color w:val="000000"/>
                <w:sz w:val="22"/>
                <w:szCs w:val="22"/>
                <w:u w:val="none"/>
                <w:lang w:val="en-US" w:eastAsia="zh-CN" w:bidi="ar-SA"/>
              </w:rPr>
            </w:pPr>
            <w:r>
              <w:rPr>
                <w:rFonts w:hint="default" w:ascii="Calibri" w:hAnsi="Calibri" w:eastAsia="SimSun" w:cs="Calibri"/>
                <w:i w:val="0"/>
                <w:iCs w:val="0"/>
                <w:color w:val="000000"/>
                <w:kern w:val="0"/>
                <w:sz w:val="22"/>
                <w:szCs w:val="22"/>
                <w:u w:val="none"/>
                <w:lang w:val="en-US" w:eastAsia="zh-CN" w:bidi="ar"/>
              </w:rPr>
              <w:t>288655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Median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108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67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65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66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71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62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265000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Mode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56.7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Q1:25%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54.5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57.945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Q2:50%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Q3:75%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75.7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66.255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212.86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91.86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83.86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76.1142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Q4:100%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89.4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97.7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77.89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940000</w:t>
            </w:r>
          </w:p>
        </w:tc>
      </w:tr>
    </w:tbl>
    <w:p>
      <w:pPr>
        <w:rPr>
          <w:rFonts w:hint="default"/>
          <w:lang w:val="en-IN"/>
        </w:rPr>
      </w:pPr>
    </w:p>
    <w:p>
      <w:pPr>
        <w:rPr>
          <w:rFonts w:hint="default"/>
          <w:lang w:val="en-IN"/>
        </w:rPr>
      </w:pPr>
    </w:p>
    <w:p>
      <w:pPr>
        <w:rPr>
          <w:rFonts w:hint="default"/>
          <w:lang w:val="en-IN"/>
        </w:rPr>
      </w:pPr>
    </w:p>
    <w:p>
      <w:pPr>
        <w:rPr>
          <w:rFonts w:hint="default"/>
          <w:sz w:val="24"/>
          <w:szCs w:val="24"/>
          <w:lang w:val="en-IN"/>
        </w:rPr>
      </w:pPr>
      <w:r>
        <w:rPr>
          <w:rFonts w:hint="default"/>
          <w:sz w:val="24"/>
          <w:szCs w:val="24"/>
          <w:lang w:val="en-IN"/>
        </w:rPr>
        <w:t xml:space="preserve">All the columns of the data giving the information of difference between the each and every quarter pass percentage of student’s are shown below. Also provided the difference of 99% and 100% percentile. </w:t>
      </w:r>
    </w:p>
    <w:p>
      <w:pPr>
        <w:rPr>
          <w:rFonts w:hint="default"/>
          <w:sz w:val="24"/>
          <w:szCs w:val="24"/>
          <w:lang w:val="en-IN"/>
        </w:rPr>
      </w:pPr>
    </w:p>
    <w:tbl>
      <w:tblPr>
        <w:tblW w:w="763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50"/>
        <w:gridCol w:w="2240"/>
        <w:gridCol w:w="960"/>
        <w:gridCol w:w="1077"/>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55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Measure of CT</w:t>
            </w:r>
          </w:p>
        </w:tc>
        <w:tc>
          <w:tcPr>
            <w:tcW w:w="224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ssc_p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hsc_p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degree_p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etest_p</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mba_p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Style w:val="4"/>
                <w:rFonts w:eastAsia="SimSun"/>
                <w:bdr w:val="none" w:color="auto" w:sz="0" w:space="0"/>
                <w:lang w:val="en-US" w:eastAsia="zh-CN" w:bidi="ar"/>
              </w:rPr>
              <w:t>Q1-Q2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Q2-Q3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Style w:val="4"/>
                <w:rFonts w:eastAsia="SimSun"/>
                <w:bdr w:val="none" w:color="auto" w:sz="0" w:space="0"/>
                <w:lang w:val="en-US" w:eastAsia="zh-CN" w:bidi="ar"/>
              </w:rPr>
              <w:t>Q3-Q4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Style w:val="4"/>
                <w:rFonts w:eastAsia="SimSun"/>
                <w:bdr w:val="none" w:color="auto" w:sz="0" w:space="0"/>
                <w:lang w:val="en-US" w:eastAsia="zh-CN" w:bidi="ar"/>
              </w:rPr>
              <w:t>99%-100%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w:t>
            </w:r>
          </w:p>
        </w:tc>
      </w:tr>
    </w:tbl>
    <w:p>
      <w:pPr>
        <w:rPr>
          <w:rFonts w:hint="default"/>
          <w:lang w:val="en-IN"/>
        </w:rPr>
      </w:pPr>
    </w:p>
    <w:p>
      <w:pPr>
        <w:rPr>
          <w:rFonts w:hint="default"/>
          <w:lang w:val="en-IN"/>
        </w:rPr>
      </w:pPr>
    </w:p>
    <w:p>
      <w:pPr>
        <w:rPr>
          <w:rFonts w:hint="default"/>
          <w:lang w:val="en-IN"/>
        </w:rPr>
      </w:pPr>
      <w:r>
        <w:rPr>
          <w:rFonts w:hint="default"/>
          <w:sz w:val="24"/>
          <w:szCs w:val="24"/>
          <w:lang w:val="en-IN"/>
        </w:rPr>
        <w:t xml:space="preserve">These details helps to improve the students performance. So college management can focus on the students those who are not placed, and make them improve their areas of difficulties to get selected in good company. By doing this, college also can have name of </w:t>
      </w:r>
      <w:r>
        <w:rPr>
          <w:rFonts w:hint="default"/>
          <w:b/>
          <w:bCs/>
          <w:sz w:val="24"/>
          <w:szCs w:val="24"/>
          <w:lang w:val="en-IN"/>
        </w:rPr>
        <w:t>100% placement to students</w:t>
      </w:r>
      <w:r>
        <w:rPr>
          <w:rFonts w:hint="default"/>
          <w:sz w:val="24"/>
          <w:szCs w:val="24"/>
          <w:lang w:val="en-IN"/>
        </w:rPr>
        <w:t>. This will gives the good reputation to the college in future.</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761D7"/>
    <w:rsid w:val="76430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font01"/>
    <w:uiPriority w:val="0"/>
    <w:rPr>
      <w:rFonts w:hint="default" w:ascii="Calibri" w:hAnsi="Calibri" w:cs="Calibri"/>
      <w:color w:val="000000"/>
      <w:sz w:val="22"/>
      <w:szCs w:val="22"/>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2024-09-08T13:02:00Z</dcterms:created>
  <dc:creator>Karpaga Valli</dc:creator>
  <cp:lastModifiedBy>Karpaga Valli</cp:lastModifiedBy>
  <dcterms:modified xsi:type="dcterms:W3CDTF">2024-09-08T14:05:33Z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5F14B0A4CEC44AA19850F23657543DE4_11</vt:lpwstr>
  </property>
</Properties>
</file>