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6E" w:rsidRDefault="000B63D6">
      <w:pPr>
        <w:rPr>
          <w:rFonts w:ascii="Segoe UI" w:hAnsi="Segoe UI"/>
          <w:sz w:val="21"/>
          <w:szCs w:val="21"/>
          <w:shd w:val="clear" w:color="auto" w:fill="FFFFFF"/>
        </w:rPr>
      </w:pPr>
      <w:r w:rsidRPr="000B63D6">
        <w:rPr>
          <w:rFonts w:ascii="Segoe UI" w:hAnsi="Segoe UI"/>
          <w:b/>
          <w:bCs/>
          <w:sz w:val="21"/>
          <w:szCs w:val="21"/>
          <w:shd w:val="clear" w:color="auto" w:fill="FFFFFF"/>
        </w:rPr>
        <w:t xml:space="preserve">Are Political </w:t>
      </w:r>
      <w:proofErr w:type="spellStart"/>
      <w:r w:rsidRPr="000B63D6">
        <w:rPr>
          <w:rFonts w:ascii="Segoe UI" w:hAnsi="Segoe UI"/>
          <w:b/>
          <w:bCs/>
          <w:sz w:val="21"/>
          <w:szCs w:val="21"/>
          <w:shd w:val="clear" w:color="auto" w:fill="FFFFFF"/>
        </w:rPr>
        <w:t>Voilence</w:t>
      </w:r>
      <w:proofErr w:type="spellEnd"/>
      <w:r w:rsidRPr="000B63D6">
        <w:rPr>
          <w:rFonts w:ascii="Segoe UI" w:hAnsi="Segoe UI"/>
          <w:b/>
          <w:bCs/>
          <w:sz w:val="21"/>
          <w:szCs w:val="21"/>
          <w:shd w:val="clear" w:color="auto" w:fill="FFFFFF"/>
        </w:rPr>
        <w:t xml:space="preserve"> and SRCC same as Terrorism in Catastrophe </w:t>
      </w:r>
      <w:proofErr w:type="spellStart"/>
      <w:r w:rsidRPr="000B63D6">
        <w:rPr>
          <w:rFonts w:ascii="Segoe UI" w:hAnsi="Segoe UI"/>
          <w:b/>
          <w:bCs/>
          <w:sz w:val="21"/>
          <w:szCs w:val="21"/>
          <w:shd w:val="clear" w:color="auto" w:fill="FFFFFF"/>
        </w:rPr>
        <w:t>Modeling</w:t>
      </w:r>
      <w:proofErr w:type="spellEnd"/>
      <w:r w:rsidRPr="000B63D6">
        <w:rPr>
          <w:rFonts w:ascii="Segoe UI" w:hAnsi="Segoe UI"/>
          <w:b/>
          <w:bCs/>
          <w:sz w:val="21"/>
          <w:szCs w:val="21"/>
          <w:shd w:val="clear" w:color="auto" w:fill="FFFFFF"/>
        </w:rPr>
        <w:t xml:space="preserve"> context</w:t>
      </w:r>
      <w:r>
        <w:rPr>
          <w:rFonts w:ascii="Segoe UI" w:hAnsi="Segoe UI"/>
          <w:sz w:val="21"/>
          <w:szCs w:val="21"/>
          <w:shd w:val="clear" w:color="auto" w:fill="FFFFFF"/>
        </w:rPr>
        <w:t>-</w:t>
      </w:r>
      <w:r>
        <w:rPr>
          <w:rFonts w:ascii="Segoe UI" w:hAnsi="Segoe UI"/>
          <w:sz w:val="21"/>
          <w:szCs w:val="21"/>
          <w:shd w:val="clear" w:color="auto" w:fill="FFFFFF"/>
        </w:rPr>
        <w:br/>
      </w:r>
      <w:r>
        <w:rPr>
          <w:rFonts w:ascii="Segoe UI" w:hAnsi="Segoe UI"/>
          <w:sz w:val="21"/>
          <w:szCs w:val="21"/>
          <w:shd w:val="clear" w:color="auto" w:fill="FFFFFF"/>
        </w:rPr>
        <w:br/>
        <w:t xml:space="preserve">In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Political Violence, Strike, Riot, and Civil Commotion (SRCC) are often treated as separate from terrorism coverage, although there can be some overlap depending on the policy language and the specific definitions provided by insurers or reinsurers.</w:t>
      </w:r>
      <w:r>
        <w:rPr>
          <w:rFonts w:ascii="Segoe UI" w:hAnsi="Segoe UI"/>
          <w:sz w:val="21"/>
          <w:szCs w:val="21"/>
          <w:shd w:val="clear" w:color="auto" w:fill="FFFFFF"/>
        </w:rPr>
        <w:br/>
      </w:r>
      <w:r>
        <w:rPr>
          <w:rFonts w:ascii="Segoe UI" w:hAnsi="Segoe UI"/>
          <w:sz w:val="21"/>
          <w:szCs w:val="21"/>
          <w:shd w:val="clear" w:color="auto" w:fill="FFFFFF"/>
        </w:rPr>
        <w:br/>
        <w:t>1. Terrorism Coverage: Typically focuses on events that are politically, ideologically, or religiously motivated with the intent to cause harm and incite fear on a large scale. Terrorism coverage is designed to handle large-scale, organized attacks like bombings or coordinated assaults, often by identified groups or individuals pursuing a particular agenda.</w:t>
      </w:r>
      <w:r>
        <w:rPr>
          <w:rFonts w:ascii="Segoe UI" w:hAnsi="Segoe UI"/>
          <w:sz w:val="21"/>
          <w:szCs w:val="21"/>
          <w:shd w:val="clear" w:color="auto" w:fill="FFFFFF"/>
        </w:rPr>
        <w:br/>
      </w:r>
      <w:r>
        <w:rPr>
          <w:rFonts w:ascii="Segoe UI" w:hAnsi="Segoe UI"/>
          <w:sz w:val="21"/>
          <w:szCs w:val="21"/>
          <w:shd w:val="clear" w:color="auto" w:fill="FFFFFF"/>
        </w:rPr>
        <w:br/>
        <w:t>2. Political Violence &amp; SRCC: This category includes a broader set of events such as:</w:t>
      </w:r>
      <w:r>
        <w:rPr>
          <w:rFonts w:ascii="Segoe UI" w:hAnsi="Segoe UI"/>
          <w:sz w:val="21"/>
          <w:szCs w:val="21"/>
          <w:shd w:val="clear" w:color="auto" w:fill="FFFFFF"/>
        </w:rPr>
        <w:br/>
      </w:r>
      <w:r>
        <w:rPr>
          <w:rFonts w:ascii="Segoe UI" w:hAnsi="Segoe UI"/>
          <w:sz w:val="21"/>
          <w:szCs w:val="21"/>
          <w:shd w:val="clear" w:color="auto" w:fill="FFFFFF"/>
        </w:rPr>
        <w:br/>
        <w:t>• Political Violence: Actions motivated by political agendas that may not qualify as terrorism (e.g., coups, rebellions, civil wars).</w:t>
      </w:r>
      <w:r>
        <w:rPr>
          <w:rFonts w:ascii="Segoe UI" w:hAnsi="Segoe UI"/>
          <w:sz w:val="21"/>
          <w:szCs w:val="21"/>
          <w:shd w:val="clear" w:color="auto" w:fill="FFFFFF"/>
        </w:rPr>
        <w:br/>
      </w:r>
      <w:r>
        <w:rPr>
          <w:rFonts w:ascii="Segoe UI" w:hAnsi="Segoe UI"/>
          <w:sz w:val="21"/>
          <w:szCs w:val="21"/>
          <w:shd w:val="clear" w:color="auto" w:fill="FFFFFF"/>
        </w:rPr>
        <w:br/>
        <w:t xml:space="preserve">• SRCC (Strikes, Riots, and Civil Commotion): Includes events that may arise from </w:t>
      </w:r>
      <w:proofErr w:type="spellStart"/>
      <w:r>
        <w:rPr>
          <w:rFonts w:ascii="Segoe UI" w:hAnsi="Segoe UI"/>
          <w:sz w:val="21"/>
          <w:szCs w:val="21"/>
          <w:shd w:val="clear" w:color="auto" w:fill="FFFFFF"/>
        </w:rPr>
        <w:t>labor</w:t>
      </w:r>
      <w:proofErr w:type="spellEnd"/>
      <w:r>
        <w:rPr>
          <w:rFonts w:ascii="Segoe UI" w:hAnsi="Segoe UI"/>
          <w:sz w:val="21"/>
          <w:szCs w:val="21"/>
          <w:shd w:val="clear" w:color="auto" w:fill="FFFFFF"/>
        </w:rPr>
        <w:t xml:space="preserve"> strikes, local protests, or riots that cause property damage or disrupt business. These events may not have the organized intent or impact required to qualify as terrorism but can still result in significant insured losses.</w:t>
      </w:r>
      <w:r>
        <w:rPr>
          <w:rFonts w:ascii="Segoe UI" w:hAnsi="Segoe UI"/>
          <w:sz w:val="21"/>
          <w:szCs w:val="21"/>
          <w:shd w:val="clear" w:color="auto" w:fill="FFFFFF"/>
        </w:rPr>
        <w:br/>
      </w:r>
      <w:r>
        <w:rPr>
          <w:rFonts w:ascii="Segoe UI" w:hAnsi="Segoe UI"/>
          <w:sz w:val="21"/>
          <w:szCs w:val="21"/>
          <w:shd w:val="clear" w:color="auto" w:fill="FFFFFF"/>
        </w:rPr>
        <w:br/>
        <w:t>3. Overlap and Policy Variance: Some insurers offer combined coverage for terrorism and SRCC, while others distinctly separate the two. The coverage distinctions often depend on the local regulations, policy wording, and insurer preferences. In certain regions with frequent political instability, SRCC coverage may be excluded from standard property policies or available only through specific endorsements or specialized markets.</w:t>
      </w:r>
    </w:p>
    <w:p w:rsidR="000B63D6" w:rsidRDefault="000B63D6">
      <w:pPr>
        <w:rPr>
          <w:rFonts w:ascii="Segoe UI" w:hAnsi="Segoe UI"/>
          <w:sz w:val="21"/>
          <w:szCs w:val="21"/>
          <w:shd w:val="clear" w:color="auto" w:fill="FFFFFF"/>
        </w:rPr>
      </w:pPr>
    </w:p>
    <w:p w:rsidR="000B63D6" w:rsidRDefault="000B63D6">
      <w:pPr>
        <w:rPr>
          <w:rFonts w:ascii="Segoe UI" w:hAnsi="Segoe UI"/>
          <w:sz w:val="21"/>
          <w:szCs w:val="21"/>
          <w:shd w:val="clear" w:color="auto" w:fill="FFFFFF"/>
        </w:rPr>
      </w:pPr>
      <w:r w:rsidRPr="000B63D6">
        <w:rPr>
          <w:rFonts w:ascii="Segoe UI" w:hAnsi="Segoe UI"/>
          <w:b/>
          <w:bCs/>
          <w:sz w:val="21"/>
          <w:szCs w:val="21"/>
          <w:shd w:val="clear" w:color="auto" w:fill="FFFFFF"/>
        </w:rPr>
        <w:t xml:space="preserve">The Impact of Incorrect Addresses in Catastrophe </w:t>
      </w:r>
      <w:proofErr w:type="spellStart"/>
      <w:r w:rsidRPr="000B63D6">
        <w:rPr>
          <w:rFonts w:ascii="Segoe UI" w:hAnsi="Segoe UI"/>
          <w:b/>
          <w:bCs/>
          <w:sz w:val="21"/>
          <w:szCs w:val="21"/>
          <w:shd w:val="clear" w:color="auto" w:fill="FFFFFF"/>
        </w:rPr>
        <w:t>Modeling</w:t>
      </w:r>
      <w:proofErr w:type="spellEnd"/>
      <w:r>
        <w:rPr>
          <w:rFonts w:ascii="Segoe UI" w:hAnsi="Segoe UI"/>
          <w:sz w:val="21"/>
          <w:szCs w:val="21"/>
          <w:shd w:val="clear" w:color="auto" w:fill="FFFFFF"/>
        </w:rPr>
        <w:t xml:space="preserve"> -</w:t>
      </w:r>
      <w:r>
        <w:rPr>
          <w:rFonts w:ascii="Segoe UI" w:hAnsi="Segoe UI"/>
          <w:sz w:val="21"/>
          <w:szCs w:val="21"/>
          <w:shd w:val="clear" w:color="auto" w:fill="FFFFFF"/>
        </w:rPr>
        <w:br/>
      </w:r>
      <w:r>
        <w:rPr>
          <w:rFonts w:ascii="Segoe UI" w:hAnsi="Segoe UI"/>
          <w:sz w:val="21"/>
          <w:szCs w:val="21"/>
          <w:shd w:val="clear" w:color="auto" w:fill="FFFFFF"/>
        </w:rPr>
        <w:br/>
        <w:t xml:space="preserve">You might already know that incorrect addresses in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xml:space="preserve"> can lead to major issues with risk assessment and underwriting, but let's discuss how -</w:t>
      </w:r>
      <w:r>
        <w:rPr>
          <w:rFonts w:ascii="Segoe UI" w:hAnsi="Segoe UI"/>
          <w:sz w:val="21"/>
          <w:szCs w:val="21"/>
          <w:shd w:val="clear" w:color="auto" w:fill="FFFFFF"/>
        </w:rPr>
        <w:br/>
      </w:r>
      <w:r>
        <w:rPr>
          <w:rFonts w:ascii="Segoe UI" w:hAnsi="Segoe UI"/>
          <w:sz w:val="21"/>
          <w:szCs w:val="21"/>
          <w:shd w:val="clear" w:color="auto" w:fill="FFFFFF"/>
        </w:rPr>
        <w:br/>
        <w:t>1. Misidentifying Risk Levels: An incorrect address can place a property in the wrong hazard zone (like floodplains or earthquake fault lines), leading to underestimating or overestimating the exposure and potential claims frequency.</w:t>
      </w:r>
      <w:r>
        <w:rPr>
          <w:rFonts w:ascii="Segoe UI" w:hAnsi="Segoe UI"/>
          <w:sz w:val="21"/>
          <w:szCs w:val="21"/>
          <w:shd w:val="clear" w:color="auto" w:fill="FFFFFF"/>
        </w:rPr>
        <w:br/>
      </w:r>
      <w:r>
        <w:rPr>
          <w:rFonts w:ascii="Segoe UI" w:hAnsi="Segoe UI"/>
          <w:sz w:val="21"/>
          <w:szCs w:val="21"/>
          <w:shd w:val="clear" w:color="auto" w:fill="FFFFFF"/>
        </w:rPr>
        <w:br/>
        <w:t>2. Incorrect Asset Valuation: If the address is wrong, the insured value of a property may be inaccurately calculated. A high-value property might be undervalued, while a low-value property could be overestimated, skewing the loss ratio and pricing models.</w:t>
      </w:r>
      <w:r>
        <w:rPr>
          <w:rFonts w:ascii="Segoe UI" w:hAnsi="Segoe UI"/>
          <w:sz w:val="21"/>
          <w:szCs w:val="21"/>
          <w:shd w:val="clear" w:color="auto" w:fill="FFFFFF"/>
        </w:rPr>
        <w:br/>
      </w:r>
      <w:r>
        <w:rPr>
          <w:rFonts w:ascii="Segoe UI" w:hAnsi="Segoe UI"/>
          <w:sz w:val="21"/>
          <w:szCs w:val="21"/>
          <w:shd w:val="clear" w:color="auto" w:fill="FFFFFF"/>
        </w:rPr>
        <w:br/>
        <w:t>3. Faulty Historical Data: Catastrophe models often rely on claims history and loss data to project future losses. An incorrect address could pull irrelevant data, causing inaccurate loss predictions and potentially affecting the reinsurance treaties in place.</w:t>
      </w:r>
    </w:p>
    <w:p w:rsidR="000B63D6" w:rsidRDefault="000B63D6">
      <w:bookmarkStart w:id="0" w:name="_GoBack"/>
      <w:r w:rsidRPr="000B63D6">
        <w:rPr>
          <w:rFonts w:ascii="Segoe UI" w:hAnsi="Segoe UI"/>
          <w:b/>
          <w:bCs/>
          <w:sz w:val="21"/>
          <w:szCs w:val="21"/>
          <w:shd w:val="clear" w:color="auto" w:fill="FFFFFF"/>
        </w:rPr>
        <w:lastRenderedPageBreak/>
        <w:t xml:space="preserve">Understanding the Difference Between Peril and Hazard in Catastrophe </w:t>
      </w:r>
      <w:proofErr w:type="spellStart"/>
      <w:r w:rsidRPr="000B63D6">
        <w:rPr>
          <w:rFonts w:ascii="Segoe UI" w:hAnsi="Segoe UI"/>
          <w:b/>
          <w:bCs/>
          <w:sz w:val="21"/>
          <w:szCs w:val="21"/>
          <w:shd w:val="clear" w:color="auto" w:fill="FFFFFF"/>
        </w:rPr>
        <w:t>Modeling</w:t>
      </w:r>
      <w:proofErr w:type="spellEnd"/>
      <w:r w:rsidRPr="000B63D6">
        <w:rPr>
          <w:rFonts w:ascii="Segoe UI" w:hAnsi="Segoe UI"/>
          <w:b/>
          <w:bCs/>
          <w:sz w:val="21"/>
          <w:szCs w:val="21"/>
          <w:shd w:val="clear" w:color="auto" w:fill="FFFFFF"/>
        </w:rPr>
        <w:t xml:space="preserve"> -</w:t>
      </w:r>
      <w:bookmarkEnd w:id="0"/>
      <w:r>
        <w:rPr>
          <w:rFonts w:ascii="Segoe UI" w:hAnsi="Segoe UI"/>
          <w:sz w:val="21"/>
          <w:szCs w:val="21"/>
          <w:shd w:val="clear" w:color="auto" w:fill="FFFFFF"/>
        </w:rPr>
        <w:br/>
      </w:r>
      <w:r>
        <w:rPr>
          <w:rFonts w:ascii="Segoe UI" w:hAnsi="Segoe UI"/>
          <w:sz w:val="21"/>
          <w:szCs w:val="21"/>
          <w:shd w:val="clear" w:color="auto" w:fill="FFFFFF"/>
        </w:rPr>
        <w:br/>
        <w:t xml:space="preserve">In P&amp;C insurance, understanding the nuances between "Peril" and "Hazard" is crucial, especially when it comes to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These terms, while often used interchangeably, have distinct meanings and implications for risk assessment and management.</w:t>
      </w:r>
      <w:r>
        <w:rPr>
          <w:rFonts w:ascii="Segoe UI" w:hAnsi="Segoe UI"/>
          <w:sz w:val="21"/>
          <w:szCs w:val="21"/>
          <w:shd w:val="clear" w:color="auto" w:fill="FFFFFF"/>
        </w:rPr>
        <w:br/>
      </w:r>
      <w:r>
        <w:rPr>
          <w:rFonts w:ascii="Segoe UI" w:hAnsi="Segoe UI"/>
          <w:sz w:val="21"/>
          <w:szCs w:val="21"/>
          <w:shd w:val="clear" w:color="auto" w:fill="FFFFFF"/>
        </w:rPr>
        <w:br/>
        <w:t>• What is a</w:t>
      </w:r>
      <w:r>
        <w:rPr>
          <w:rStyle w:val="white-space-pre"/>
          <w:rFonts w:ascii="Segoe UI" w:hAnsi="Segoe UI"/>
          <w:sz w:val="21"/>
          <w:szCs w:val="21"/>
          <w:shd w:val="clear" w:color="auto" w:fill="FFFFFF"/>
        </w:rPr>
        <w:t xml:space="preserve"> </w:t>
      </w:r>
      <w:hyperlink r:id="rId4" w:history="1">
        <w:proofErr w:type="spellStart"/>
        <w:r>
          <w:rPr>
            <w:rStyle w:val="visually-hidden"/>
            <w:rFonts w:ascii="Segoe UI" w:hAnsi="Segoe UI"/>
            <w:color w:val="0000FF"/>
            <w:sz w:val="21"/>
            <w:szCs w:val="21"/>
            <w:u w:val="single"/>
            <w:shd w:val="clear" w:color="auto" w:fill="FFFFFF"/>
          </w:rPr>
          <w:t>hashtag</w:t>
        </w:r>
        <w:r>
          <w:rPr>
            <w:rStyle w:val="Hyperlink"/>
            <w:rFonts w:ascii="Segoe UI" w:hAnsi="Segoe UI"/>
            <w:sz w:val="21"/>
            <w:szCs w:val="21"/>
            <w:shd w:val="clear" w:color="auto" w:fill="FFFFFF"/>
          </w:rPr>
          <w:t>#Peril</w:t>
        </w:r>
        <w:proofErr w:type="spellEnd"/>
      </w:hyperlink>
      <w:r>
        <w:rPr>
          <w:rFonts w:ascii="Segoe UI" w:hAnsi="Segoe UI"/>
          <w:sz w:val="21"/>
          <w:szCs w:val="21"/>
          <w:shd w:val="clear" w:color="auto" w:fill="FFFFFF"/>
        </w:rPr>
        <w:t>?</w:t>
      </w:r>
      <w:r>
        <w:rPr>
          <w:rFonts w:ascii="Segoe UI" w:hAnsi="Segoe UI"/>
          <w:sz w:val="21"/>
          <w:szCs w:val="21"/>
          <w:shd w:val="clear" w:color="auto" w:fill="FFFFFF"/>
        </w:rPr>
        <w:br/>
      </w:r>
      <w:r>
        <w:rPr>
          <w:rFonts w:ascii="Segoe UI" w:hAnsi="Segoe UI"/>
          <w:sz w:val="21"/>
          <w:szCs w:val="21"/>
          <w:shd w:val="clear" w:color="auto" w:fill="FFFFFF"/>
        </w:rPr>
        <w:br/>
        <w:t xml:space="preserve">A Peril is an event or circumstance that can cause a loss. In insurance terms, perils are the specific risks or causes of loss covered by an insurance policy. Common examples include natural disasters like earthquakes, hurricanes, floods, and man-made events such as theft or vandalism. In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perils are the primary focus as they represent the potential events that can lead to significant losses.</w:t>
      </w:r>
      <w:r>
        <w:rPr>
          <w:rFonts w:ascii="Segoe UI" w:hAnsi="Segoe UI"/>
          <w:sz w:val="21"/>
          <w:szCs w:val="21"/>
          <w:shd w:val="clear" w:color="auto" w:fill="FFFFFF"/>
        </w:rPr>
        <w:br/>
      </w:r>
      <w:r>
        <w:rPr>
          <w:rFonts w:ascii="Segoe UI" w:hAnsi="Segoe UI"/>
          <w:sz w:val="21"/>
          <w:szCs w:val="21"/>
          <w:shd w:val="clear" w:color="auto" w:fill="FFFFFF"/>
        </w:rPr>
        <w:br/>
        <w:t>• What is a</w:t>
      </w:r>
      <w:r>
        <w:rPr>
          <w:rStyle w:val="white-space-pre"/>
          <w:rFonts w:ascii="Segoe UI" w:hAnsi="Segoe UI"/>
          <w:sz w:val="21"/>
          <w:szCs w:val="21"/>
          <w:shd w:val="clear" w:color="auto" w:fill="FFFFFF"/>
        </w:rPr>
        <w:t xml:space="preserve"> </w:t>
      </w:r>
      <w:hyperlink r:id="rId5" w:history="1">
        <w:proofErr w:type="spellStart"/>
        <w:r>
          <w:rPr>
            <w:rStyle w:val="visually-hidden"/>
            <w:rFonts w:ascii="Segoe UI" w:hAnsi="Segoe UI"/>
            <w:color w:val="0000FF"/>
            <w:sz w:val="21"/>
            <w:szCs w:val="21"/>
            <w:u w:val="single"/>
            <w:shd w:val="clear" w:color="auto" w:fill="FFFFFF"/>
          </w:rPr>
          <w:t>hashtag</w:t>
        </w:r>
        <w:r>
          <w:rPr>
            <w:rStyle w:val="Hyperlink"/>
            <w:rFonts w:ascii="Segoe UI" w:hAnsi="Segoe UI"/>
            <w:sz w:val="21"/>
            <w:szCs w:val="21"/>
            <w:shd w:val="clear" w:color="auto" w:fill="FFFFFF"/>
          </w:rPr>
          <w:t>#Hazard</w:t>
        </w:r>
        <w:proofErr w:type="spellEnd"/>
      </w:hyperlink>
      <w:r>
        <w:rPr>
          <w:rFonts w:ascii="Segoe UI" w:hAnsi="Segoe UI"/>
          <w:sz w:val="21"/>
          <w:szCs w:val="21"/>
          <w:shd w:val="clear" w:color="auto" w:fill="FFFFFF"/>
        </w:rPr>
        <w:t>?</w:t>
      </w:r>
      <w:r>
        <w:rPr>
          <w:rFonts w:ascii="Segoe UI" w:hAnsi="Segoe UI"/>
          <w:sz w:val="21"/>
          <w:szCs w:val="21"/>
          <w:shd w:val="clear" w:color="auto" w:fill="FFFFFF"/>
        </w:rPr>
        <w:br/>
      </w:r>
      <w:r>
        <w:rPr>
          <w:rFonts w:ascii="Segoe UI" w:hAnsi="Segoe UI"/>
          <w:sz w:val="21"/>
          <w:szCs w:val="21"/>
          <w:shd w:val="clear" w:color="auto" w:fill="FFFFFF"/>
        </w:rPr>
        <w:br/>
        <w:t xml:space="preserve">A Hazard, on the other hand, is a condition or situation that increases the likelihood or severity of a peril occurring. Hazards can be physical, like faulty wiring in a building that increases the risk of fire, or they can be related to human </w:t>
      </w:r>
      <w:proofErr w:type="spellStart"/>
      <w:r>
        <w:rPr>
          <w:rFonts w:ascii="Segoe UI" w:hAnsi="Segoe UI"/>
          <w:sz w:val="21"/>
          <w:szCs w:val="21"/>
          <w:shd w:val="clear" w:color="auto" w:fill="FFFFFF"/>
        </w:rPr>
        <w:t>behavior</w:t>
      </w:r>
      <w:proofErr w:type="spellEnd"/>
      <w:r>
        <w:rPr>
          <w:rFonts w:ascii="Segoe UI" w:hAnsi="Segoe UI"/>
          <w:sz w:val="21"/>
          <w:szCs w:val="21"/>
          <w:shd w:val="clear" w:color="auto" w:fill="FFFFFF"/>
        </w:rPr>
        <w:t xml:space="preserve">, such as negligence or poor maintenance practices. In the context of catastrophe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hazards are factors that exacerbate the impact of perils.</w:t>
      </w:r>
      <w:r>
        <w:rPr>
          <w:rFonts w:ascii="Segoe UI" w:hAnsi="Segoe UI"/>
          <w:sz w:val="21"/>
          <w:szCs w:val="21"/>
          <w:shd w:val="clear" w:color="auto" w:fill="FFFFFF"/>
        </w:rPr>
        <w:br/>
      </w:r>
      <w:r>
        <w:rPr>
          <w:rFonts w:ascii="Segoe UI" w:hAnsi="Segoe UI"/>
          <w:sz w:val="21"/>
          <w:szCs w:val="21"/>
          <w:shd w:val="clear" w:color="auto" w:fill="FFFFFF"/>
        </w:rPr>
        <w:br/>
        <w:t>• Key Differences -</w:t>
      </w:r>
      <w:r>
        <w:rPr>
          <w:rFonts w:ascii="Segoe UI" w:hAnsi="Segoe UI"/>
          <w:sz w:val="21"/>
          <w:szCs w:val="21"/>
          <w:shd w:val="clear" w:color="auto" w:fill="FFFFFF"/>
        </w:rPr>
        <w:br/>
      </w:r>
      <w:r>
        <w:rPr>
          <w:rFonts w:ascii="Segoe UI" w:hAnsi="Segoe UI"/>
          <w:sz w:val="21"/>
          <w:szCs w:val="21"/>
          <w:shd w:val="clear" w:color="auto" w:fill="FFFFFF"/>
        </w:rPr>
        <w:br/>
        <w:t>• Nature: Perils are the actual events that cause loss, while hazards are conditions that increase the likelihood or severity of those events.</w:t>
      </w:r>
      <w:r>
        <w:rPr>
          <w:rFonts w:ascii="Segoe UI" w:hAnsi="Segoe UI"/>
          <w:sz w:val="21"/>
          <w:szCs w:val="21"/>
          <w:shd w:val="clear" w:color="auto" w:fill="FFFFFF"/>
        </w:rPr>
        <w:br/>
        <w:t xml:space="preserve">• Focus in </w:t>
      </w:r>
      <w:proofErr w:type="spellStart"/>
      <w:r>
        <w:rPr>
          <w:rFonts w:ascii="Segoe UI" w:hAnsi="Segoe UI"/>
          <w:sz w:val="21"/>
          <w:szCs w:val="21"/>
          <w:shd w:val="clear" w:color="auto" w:fill="FFFFFF"/>
        </w:rPr>
        <w:t>Modeling</w:t>
      </w:r>
      <w:proofErr w:type="spellEnd"/>
      <w:r>
        <w:rPr>
          <w:rFonts w:ascii="Segoe UI" w:hAnsi="Segoe UI"/>
          <w:sz w:val="21"/>
          <w:szCs w:val="21"/>
          <w:shd w:val="clear" w:color="auto" w:fill="FFFFFF"/>
        </w:rPr>
        <w:t>: Catastrophe models primarily focus on perils to estimate potential losses, but they also consider hazards to refine these estimates.</w:t>
      </w:r>
      <w:r>
        <w:rPr>
          <w:rFonts w:ascii="Segoe UI" w:hAnsi="Segoe UI"/>
          <w:sz w:val="21"/>
          <w:szCs w:val="21"/>
          <w:shd w:val="clear" w:color="auto" w:fill="FFFFFF"/>
        </w:rPr>
        <w:br/>
        <w:t>• Examples: A hurricane (peril) can cause extensive damage, but the presence of poorly constructed buildings (hazard) can significantly increase the extent of that damage.</w:t>
      </w:r>
      <w:r>
        <w:rPr>
          <w:rFonts w:ascii="Segoe UI" w:hAnsi="Segoe UI"/>
          <w:sz w:val="21"/>
          <w:szCs w:val="21"/>
          <w:shd w:val="clear" w:color="auto" w:fill="FFFFFF"/>
        </w:rPr>
        <w:br/>
      </w:r>
      <w:r>
        <w:rPr>
          <w:rFonts w:ascii="Segoe UI" w:hAnsi="Segoe UI"/>
          <w:sz w:val="21"/>
          <w:szCs w:val="21"/>
          <w:shd w:val="clear" w:color="auto" w:fill="FFFFFF"/>
        </w:rPr>
        <w:br/>
        <w:t>4. Distorted Exposure Data: Incorrect addresses can impact key exposure factors like elevation, building codes, and construction types, all of which are critical for assessing underwriting risk and policyholder exposure.</w:t>
      </w:r>
      <w:r>
        <w:rPr>
          <w:rFonts w:ascii="Segoe UI" w:hAnsi="Segoe UI"/>
          <w:sz w:val="21"/>
          <w:szCs w:val="21"/>
          <w:shd w:val="clear" w:color="auto" w:fill="FFFFFF"/>
        </w:rPr>
        <w:br/>
      </w:r>
      <w:r>
        <w:rPr>
          <w:rFonts w:ascii="Segoe UI" w:hAnsi="Segoe UI"/>
          <w:sz w:val="21"/>
          <w:szCs w:val="21"/>
          <w:shd w:val="clear" w:color="auto" w:fill="FFFFFF"/>
        </w:rPr>
        <w:br/>
        <w:t>5. Skewed Loss Estimates: All of these errors can distort the final Average Annual Loss (AAL), affecting premium pricing, loss reserves, and risk mitigation strategies. Inaccurate AAL calculations can lead to mispricing policies and incorrect financial reserves.</w:t>
      </w:r>
      <w:r>
        <w:rPr>
          <w:rFonts w:ascii="Segoe UI" w:hAnsi="Segoe UI"/>
          <w:sz w:val="21"/>
          <w:szCs w:val="21"/>
          <w:shd w:val="clear" w:color="auto" w:fill="FFFFFF"/>
        </w:rPr>
        <w:br/>
      </w:r>
      <w:r>
        <w:rPr>
          <w:rFonts w:ascii="Segoe UI" w:hAnsi="Segoe UI"/>
          <w:sz w:val="21"/>
          <w:szCs w:val="21"/>
          <w:shd w:val="clear" w:color="auto" w:fill="FFFFFF"/>
        </w:rPr>
        <w:br/>
        <w:t xml:space="preserve">Accurate address data is essential to ensure reliable catastrophe models, which in turn impact risk assessment, underwriting decisions, premium pricing, and claims management. Ensuring data integrity helps to protect against unexpected claims </w:t>
      </w:r>
      <w:proofErr w:type="spellStart"/>
      <w:r>
        <w:rPr>
          <w:rFonts w:ascii="Segoe UI" w:hAnsi="Segoe UI"/>
          <w:sz w:val="21"/>
          <w:szCs w:val="21"/>
          <w:shd w:val="clear" w:color="auto" w:fill="FFFFFF"/>
        </w:rPr>
        <w:t>payouts</w:t>
      </w:r>
      <w:proofErr w:type="spellEnd"/>
      <w:r>
        <w:rPr>
          <w:rFonts w:ascii="Segoe UI" w:hAnsi="Segoe UI"/>
          <w:sz w:val="21"/>
          <w:szCs w:val="21"/>
          <w:shd w:val="clear" w:color="auto" w:fill="FFFFFF"/>
        </w:rPr>
        <w:t xml:space="preserve"> and improves overall financial stability.</w:t>
      </w:r>
    </w:p>
    <w:sectPr w:rsidR="000B6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00002FF" w:usb1="5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28"/>
    <w:rsid w:val="000B63D6"/>
    <w:rsid w:val="0026116E"/>
    <w:rsid w:val="002E462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472E"/>
  <w15:chartTrackingRefBased/>
  <w15:docId w15:val="{95A0D93F-741E-4158-B42F-625FD199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0B63D6"/>
  </w:style>
  <w:style w:type="character" w:styleId="Hyperlink">
    <w:name w:val="Hyperlink"/>
    <w:basedOn w:val="DefaultParagraphFont"/>
    <w:uiPriority w:val="99"/>
    <w:semiHidden/>
    <w:unhideWhenUsed/>
    <w:rsid w:val="000B63D6"/>
    <w:rPr>
      <w:color w:val="0000FF"/>
      <w:u w:val="single"/>
    </w:rPr>
  </w:style>
  <w:style w:type="character" w:customStyle="1" w:styleId="visually-hidden">
    <w:name w:val="visually-hidden"/>
    <w:basedOn w:val="DefaultParagraphFont"/>
    <w:rsid w:val="000B6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search/results/all/?keywords=%23hazard&amp;origin=HASH_TAG_FROM_FEED" TargetMode="External"/><Relationship Id="rId4" Type="http://schemas.openxmlformats.org/officeDocument/2006/relationships/hyperlink" Target="https://www.linkedin.com/search/results/all/?keywords=%23peril&amp;origin=HASH_TAG_FROM_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800</Words>
  <Characters>4563</Characters>
  <Application>Microsoft Office Word</Application>
  <DocSecurity>0</DocSecurity>
  <Lines>38</Lines>
  <Paragraphs>10</Paragraphs>
  <ScaleCrop>false</ScaleCrop>
  <Company>Hyperion Group Services</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 Srinu (Karre Srinu) [C]</dc:creator>
  <cp:keywords/>
  <dc:description/>
  <cp:lastModifiedBy>Karre Srinu (Karre Srinu) [C]</cp:lastModifiedBy>
  <cp:revision>2</cp:revision>
  <dcterms:created xsi:type="dcterms:W3CDTF">2025-02-11T14:31:00Z</dcterms:created>
  <dcterms:modified xsi:type="dcterms:W3CDTF">2025-02-11T14:38:00Z</dcterms:modified>
</cp:coreProperties>
</file>