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382725" cy="39485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4484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6382724" cy="3948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502.58pt;height:310.91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Bdr/>
        <w:spacing/>
        <w:ind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</w:r>
      <w:r>
        <w:rPr>
          <w:rFonts w:ascii="Times New Roman" w:hAnsi="Times New Roman" w:cs="Times New Roman"/>
          <w:b/>
          <w:bCs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Flow: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User → Context management: Requests theme change.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Context Management → ThemeContext: Updates state.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ThemeContext → UI Components: Renders new theme.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Level 1 DFD (Context API</w:t>
      </w:r>
      <w:r>
        <w:rPr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</w:t>
      </w:r>
      <w:r>
        <w:rPr>
          <w:sz w:val="28"/>
          <w:szCs w:val="28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reaking down the system into smaller processes</w: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373325" cy="33432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1793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7373324" cy="3343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580.58pt;height:263.2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Data Flow Details: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User → ThemeSwitcher: Clicks "Toggle Theme".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ThemeSwitcher → ThemeContext: Calls setTheme().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ThemeContext → UI: Re-renders components with the new theme.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239850" cy="354863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0203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239849" cy="354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91.33pt;height:279.4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/>
        <w:ind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2025-03-11T06:44:26Z</dcterms:modified>
</cp:coreProperties>
</file>