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480"/>
        <w:jc w:val="center"/>
      </w:pPr>
      <w:r>
        <w:rPr>
          <w:rFonts w:ascii="Calibri" w:hAnsi="Calibri" w:cs="Calibri"/>
          <w:b/>
          <w:color w:val="EB0017"/>
          <w:sz w:val="20"/>
        </w:rPr>
        <w:t>AON  |  FIRSTSERVICE RESIDENTIAL</w:t>
      </w:r>
    </w:p>
    <w:p>
      <w:pPr>
        <w:spacing w:after="160"/>
        <w:jc w:val="center"/>
      </w:pPr>
      <w:r>
        <w:rPr>
          <w:rFonts w:ascii="Calibri" w:hAnsi="Calibri" w:cs="Calibri"/>
          <w:b/>
          <w:color w:val="262836"/>
          <w:sz w:val="72"/>
        </w:rPr>
        <w:t>The Florida Condo Market in 2026</w:t>
      </w:r>
    </w:p>
    <w:p>
      <w:pPr>
        <w:spacing w:after="1600"/>
        <w:jc w:val="center"/>
      </w:pPr>
      <w:r>
        <w:rPr>
          <w:rFonts w:ascii="Calibri" w:hAnsi="Calibri" w:cs="Calibri"/>
          <w:i/>
          <w:color w:val="5D6D78"/>
          <w:sz w:val="36"/>
        </w:rPr>
        <w:t>Talking Points &amp; Presenter Script</w:t>
      </w:r>
    </w:p>
    <w:p>
      <w:pPr>
        <w:pBdr>
          <w:bottom w:val="single" w:sz="6" w:space="1" w:color="EB0017"/>
        </w:pBdr>
      </w:pPr>
    </w:p>
    <w:p>
      <w:pPr>
        <w:spacing w:after="40"/>
        <w:jc w:val="center"/>
      </w:pPr>
      <w:r>
        <w:rPr>
          <w:rFonts w:ascii="Calibri" w:hAnsi="Calibri" w:cs="Calibri"/>
          <w:b/>
          <w:color w:val="5D6D78"/>
          <w:sz w:val="20"/>
        </w:rPr>
        <w:t>Presenter</w:t>
      </w:r>
    </w:p>
    <w:p>
      <w:pPr>
        <w:spacing w:after="360"/>
        <w:jc w:val="center"/>
      </w:pPr>
      <w:r>
        <w:rPr>
          <w:rFonts w:ascii="Calibri" w:hAnsi="Calibri" w:cs="Calibri"/>
          <w:color w:val="262836"/>
          <w:sz w:val="28"/>
        </w:rPr>
        <w:t>Karim Nasser, SVP — Aon Miami</w:t>
      </w:r>
    </w:p>
    <w:p>
      <w:pPr>
        <w:spacing w:after="40"/>
        <w:jc w:val="center"/>
      </w:pPr>
      <w:r>
        <w:rPr>
          <w:rFonts w:ascii="Calibri" w:hAnsi="Calibri" w:cs="Calibri"/>
          <w:b/>
          <w:color w:val="5D6D78"/>
          <w:sz w:val="20"/>
        </w:rPr>
        <w:t>Audience</w:t>
      </w:r>
    </w:p>
    <w:p>
      <w:pPr>
        <w:spacing w:after="360"/>
        <w:jc w:val="center"/>
      </w:pPr>
      <w:r>
        <w:rPr>
          <w:rFonts w:ascii="Calibri" w:hAnsi="Calibri" w:cs="Calibri"/>
          <w:color w:val="262836"/>
          <w:sz w:val="28"/>
        </w:rPr>
        <w:t>FirstService Residential Property Managers</w:t>
      </w:r>
    </w:p>
    <w:p>
      <w:pPr>
        <w:spacing w:after="40"/>
        <w:jc w:val="center"/>
      </w:pPr>
      <w:r>
        <w:rPr>
          <w:rFonts w:ascii="Calibri" w:hAnsi="Calibri" w:cs="Calibri"/>
          <w:b/>
          <w:color w:val="5D6D78"/>
          <w:sz w:val="20"/>
        </w:rPr>
        <w:t>Date · Location</w:t>
      </w:r>
    </w:p>
    <w:p>
      <w:pPr>
        <w:spacing w:after="2400"/>
        <w:jc w:val="center"/>
      </w:pPr>
      <w:r>
        <w:rPr>
          <w:rFonts w:ascii="Calibri" w:hAnsi="Calibri" w:cs="Calibri"/>
          <w:color w:val="262836"/>
          <w:sz w:val="28"/>
        </w:rPr>
        <w:t>May 6, 2026  ·  Miami, FL</w:t>
      </w:r>
    </w:p>
    <w:p>
      <w:r>
        <w:br w:type="page"/>
      </w:r>
    </w:p>
    <w:p>
      <w:pPr>
        <w:spacing w:after="240"/>
      </w:pPr>
      <w:r>
        <w:rPr>
          <w:rFonts w:ascii="Calibri" w:hAnsi="Calibri" w:cs="Calibri"/>
          <w:b/>
          <w:color w:val="101E7F"/>
          <w:sz w:val="40"/>
        </w:rPr>
        <w:t>How to use this document</w:t>
      </w:r>
    </w:p>
    <w:p>
      <w:pPr>
        <w:pBdr>
          <w:bottom w:val="single" w:sz="6" w:space="1" w:color="EB0017"/>
        </w:pBdr>
      </w:pPr>
    </w:p>
    <w:p>
      <w:pPr>
        <w:spacing w:after="120"/>
      </w:pPr>
      <w:r>
        <w:rPr>
          <w:rFonts w:ascii="Calibri" w:hAnsi="Calibri" w:cs="Calibri"/>
          <w:color w:val="262836"/>
          <w:sz w:val="22"/>
        </w:rPr>
        <w:t>Each slide gets three things:</w:t>
      </w:r>
    </w:p>
    <w:p>
      <w:pPr>
        <w:pStyle w:val="ListBullet"/>
      </w:pPr>
      <w:r>
        <w:rPr>
          <w:rFonts w:ascii="Calibri" w:hAnsi="Calibri" w:cs="Calibri"/>
          <w:color w:val="262836"/>
          <w:sz w:val="22"/>
        </w:rPr>
        <w:t>Open — the line you walk in with.</w:t>
      </w:r>
    </w:p>
    <w:p>
      <w:pPr>
        <w:pStyle w:val="ListBullet"/>
      </w:pPr>
      <w:r>
        <w:rPr>
          <w:rFonts w:ascii="Calibri" w:hAnsi="Calibri" w:cs="Calibri"/>
          <w:color w:val="262836"/>
          <w:sz w:val="22"/>
        </w:rPr>
        <w:t>Script — what you actually say (≈60–90 sec).</w:t>
      </w:r>
    </w:p>
    <w:p>
      <w:pPr>
        <w:pStyle w:val="ListBullet"/>
      </w:pPr>
      <w:r>
        <w:rPr>
          <w:rFonts w:ascii="Calibri" w:hAnsi="Calibri" w:cs="Calibri"/>
          <w:color w:val="262836"/>
          <w:sz w:val="22"/>
        </w:rPr>
        <w:t>Beats — three punchy bullets in case the script slips.</w:t>
      </w:r>
    </w:p>
    <w:p>
      <w:pPr>
        <w:spacing w:after="240"/>
      </w:pPr>
    </w:p>
    <w:p>
      <w:pPr>
        <w:spacing w:after="360"/>
      </w:pPr>
      <w:r>
        <w:rPr>
          <w:rFonts w:ascii="Calibri" w:hAnsi="Calibri" w:cs="Calibri"/>
          <w:i/>
          <w:color w:val="5D6D78"/>
          <w:sz w:val="22"/>
        </w:rPr>
        <w:t>Pace target: ~75 seconds per slide. The framework slides (22–25) and the portfolio map (21) deserve more time. The carrier wall (7) and renewal timeline (15) can move quickly.</w:t>
      </w:r>
    </w:p>
    <w:p>
      <w:r>
        <w:br w:type="page"/>
      </w:r>
    </w:p>
    <w:p>
      <w:pPr>
        <w:spacing w:after="40"/>
      </w:pPr>
      <w:r>
        <w:rPr>
          <w:rFonts w:ascii="Calibri" w:hAnsi="Calibri" w:cs="Calibri"/>
          <w:b/>
          <w:color w:val="EB0017"/>
          <w:sz w:val="22"/>
        </w:rPr>
        <w:t xml:space="preserve">01  ·  </w:t>
      </w:r>
      <w:r>
        <w:rPr>
          <w:rFonts w:ascii="Calibri" w:hAnsi="Calibri" w:cs="Calibri"/>
          <w:b/>
          <w:color w:val="5D6D78"/>
          <w:sz w:val="22"/>
        </w:rPr>
        <w:t>COVER</w:t>
      </w:r>
    </w:p>
    <w:p>
      <w:pPr>
        <w:spacing w:after="200"/>
      </w:pPr>
      <w:r>
        <w:rPr>
          <w:rFonts w:ascii="Calibri" w:hAnsi="Calibri" w:cs="Calibri"/>
          <w:b/>
          <w:color w:val="262836"/>
          <w:sz w:val="44"/>
        </w:rPr>
        <w:t>The Florida Condo Market in 2026.</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“Thank you for the room. Let's get straight to it.”</w:t>
      </w:r>
    </w:p>
    <w:p>
      <w:pPr>
        <w:spacing w:after="40"/>
      </w:pPr>
      <w:r>
        <w:rPr>
          <w:rFonts w:ascii="Calibri" w:hAnsi="Calibri" w:cs="Calibri"/>
          <w:b/>
          <w:color w:val="EB0017"/>
          <w:sz w:val="18"/>
        </w:rPr>
        <w:t>SCRIPT</w:t>
      </w:r>
    </w:p>
    <w:p>
      <w:pPr>
        <w:spacing w:after="280"/>
      </w:pPr>
      <w:r>
        <w:rPr>
          <w:rFonts w:ascii="Calibri" w:hAnsi="Calibri" w:cs="Calibri"/>
          <w:color w:val="262836"/>
          <w:sz w:val="22"/>
        </w:rPr>
        <w:t>This isn't a pitch deck. It's a market briefing — the same one we'd run for a publicly traded REIT, scaled to your portfolio. Florida condos are the most underwriter-watched asset class in the country right now. Every carrier on your programs — wind, casualty, D&amp;O — is repricing your buildings. Over the next forty minutes we'll show you what they see, what they reward, and what you can actually do about it. By the end you'll have a framework you can take to your boards tomorrow.</w:t>
      </w:r>
    </w:p>
    <w:p>
      <w:pPr>
        <w:spacing w:after="40"/>
      </w:pPr>
      <w:r>
        <w:rPr>
          <w:rFonts w:ascii="Calibri" w:hAnsi="Calibri" w:cs="Calibri"/>
          <w:b/>
          <w:color w:val="EB0017"/>
          <w:sz w:val="18"/>
        </w:rPr>
        <w:t>BEATS</w:t>
      </w:r>
    </w:p>
    <w:p>
      <w:pPr>
        <w:pStyle w:val="ListBullet"/>
      </w:pPr>
      <w:r>
        <w:rPr>
          <w:rFonts w:ascii="Calibri" w:hAnsi="Calibri" w:cs="Calibri"/>
          <w:color w:val="262836"/>
          <w:sz w:val="22"/>
        </w:rPr>
        <w:t>Briefing, not a pitch.</w:t>
      </w:r>
    </w:p>
    <w:p>
      <w:pPr>
        <w:pStyle w:val="ListBullet"/>
      </w:pPr>
      <w:r>
        <w:rPr>
          <w:rFonts w:ascii="Calibri" w:hAnsi="Calibri" w:cs="Calibri"/>
          <w:color w:val="262836"/>
          <w:sz w:val="22"/>
        </w:rPr>
        <w:t>Every line on a Florida condo is being repriced this year.</w:t>
      </w:r>
    </w:p>
    <w:p>
      <w:pPr>
        <w:pStyle w:val="ListBullet"/>
      </w:pPr>
      <w:r>
        <w:rPr>
          <w:rFonts w:ascii="Calibri" w:hAnsi="Calibri" w:cs="Calibri"/>
          <w:color w:val="262836"/>
          <w:sz w:val="22"/>
        </w:rPr>
        <w:t>You'll leave with a framework, not a sales pamphlet.</w:t>
      </w:r>
    </w:p>
    <w:p>
      <w:r>
        <w:br w:type="page"/>
      </w:r>
    </w:p>
    <w:p>
      <w:pPr>
        <w:spacing w:after="40"/>
      </w:pPr>
      <w:r>
        <w:rPr>
          <w:rFonts w:ascii="Calibri" w:hAnsi="Calibri" w:cs="Calibri"/>
          <w:b/>
          <w:color w:val="EB0017"/>
          <w:sz w:val="22"/>
        </w:rPr>
        <w:t xml:space="preserve">02  ·  </w:t>
      </w:r>
      <w:r>
        <w:rPr>
          <w:rFonts w:ascii="Calibri" w:hAnsi="Calibri" w:cs="Calibri"/>
          <w:b/>
          <w:color w:val="5D6D78"/>
          <w:sz w:val="22"/>
        </w:rPr>
        <w:t>YOUR AON TEAM</w:t>
      </w:r>
    </w:p>
    <w:p>
      <w:pPr>
        <w:spacing w:after="200"/>
      </w:pPr>
      <w:r>
        <w:rPr>
          <w:rFonts w:ascii="Calibri" w:hAnsi="Calibri" w:cs="Calibri"/>
          <w:b/>
          <w:color w:val="262836"/>
          <w:sz w:val="44"/>
        </w:rPr>
        <w:t>Four specialists, one mission.</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“Before any slides — meet the people who'd actually pick up the phone.”</w:t>
      </w:r>
    </w:p>
    <w:p>
      <w:pPr>
        <w:spacing w:after="40"/>
      </w:pPr>
      <w:r>
        <w:rPr>
          <w:rFonts w:ascii="Calibri" w:hAnsi="Calibri" w:cs="Calibri"/>
          <w:b/>
          <w:color w:val="EB0017"/>
          <w:sz w:val="18"/>
        </w:rPr>
        <w:t>SCRIPT</w:t>
      </w:r>
    </w:p>
    <w:p>
      <w:pPr>
        <w:spacing w:after="280"/>
      </w:pPr>
      <w:r>
        <w:rPr>
          <w:rFonts w:ascii="Calibri" w:hAnsi="Calibri" w:cs="Calibri"/>
          <w:color w:val="262836"/>
          <w:sz w:val="22"/>
        </w:rPr>
        <w:t>You've got four of us in the room because condos in Florida don't fit one specialty. Kali leads our Florida property practice out of Tampa — she sees every wind placement in the state. Norbert runs Middle Market and lives in the casualty and D&amp;O conversation. Sam is the Senior Account Executive who'd run your day-to-day. I lead Real Estate for South Florida. The reason we travel as four is simple: when something goes wrong, you don't want a generalist — you want the specialist who's already seen it twice this year.</w:t>
      </w:r>
    </w:p>
    <w:p>
      <w:pPr>
        <w:spacing w:after="40"/>
      </w:pPr>
      <w:r>
        <w:rPr>
          <w:rFonts w:ascii="Calibri" w:hAnsi="Calibri" w:cs="Calibri"/>
          <w:b/>
          <w:color w:val="EB0017"/>
          <w:sz w:val="18"/>
        </w:rPr>
        <w:t>BEATS</w:t>
      </w:r>
    </w:p>
    <w:p>
      <w:pPr>
        <w:pStyle w:val="ListBullet"/>
      </w:pPr>
      <w:r>
        <w:rPr>
          <w:rFonts w:ascii="Calibri" w:hAnsi="Calibri" w:cs="Calibri"/>
          <w:color w:val="262836"/>
          <w:sz w:val="22"/>
        </w:rPr>
        <w:t>Four specialists, one client team.</w:t>
      </w:r>
    </w:p>
    <w:p>
      <w:pPr>
        <w:pStyle w:val="ListBullet"/>
      </w:pPr>
      <w:r>
        <w:rPr>
          <w:rFonts w:ascii="Calibri" w:hAnsi="Calibri" w:cs="Calibri"/>
          <w:color w:val="262836"/>
          <w:sz w:val="22"/>
        </w:rPr>
        <w:t>Each name maps to a specific real-world question (wind, casualty, D&amp;O, daily ops).</w:t>
      </w:r>
    </w:p>
    <w:p>
      <w:pPr>
        <w:pStyle w:val="ListBullet"/>
      </w:pPr>
      <w:r>
        <w:rPr>
          <w:rFonts w:ascii="Calibri" w:hAnsi="Calibri" w:cs="Calibri"/>
          <w:color w:val="262836"/>
          <w:sz w:val="22"/>
        </w:rPr>
        <w:t>"When something goes wrong, you want the specialist, not the generalist."</w:t>
      </w:r>
    </w:p>
    <w:p>
      <w:r>
        <w:br w:type="page"/>
      </w:r>
    </w:p>
    <w:p>
      <w:pPr>
        <w:spacing w:after="40"/>
      </w:pPr>
      <w:r>
        <w:rPr>
          <w:rFonts w:ascii="Calibri" w:hAnsi="Calibri" w:cs="Calibri"/>
          <w:b/>
          <w:color w:val="EB0017"/>
          <w:sz w:val="22"/>
        </w:rPr>
        <w:t xml:space="preserve">03  ·  </w:t>
      </w:r>
      <w:r>
        <w:rPr>
          <w:rFonts w:ascii="Calibri" w:hAnsi="Calibri" w:cs="Calibri"/>
          <w:b/>
          <w:color w:val="5D6D78"/>
          <w:sz w:val="22"/>
        </w:rPr>
        <w:t>AGENDA</w:t>
      </w:r>
    </w:p>
    <w:p>
      <w:pPr>
        <w:spacing w:after="200"/>
      </w:pPr>
      <w:r>
        <w:rPr>
          <w:rFonts w:ascii="Calibri" w:hAnsi="Calibri" w:cs="Calibri"/>
          <w:b/>
          <w:color w:val="262836"/>
          <w:sz w:val="44"/>
        </w:rPr>
        <w:t>Today's runway.</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“Seven acts, forty minutes, then your floor.”</w:t>
      </w:r>
    </w:p>
    <w:p>
      <w:pPr>
        <w:spacing w:after="40"/>
      </w:pPr>
      <w:r>
        <w:rPr>
          <w:rFonts w:ascii="Calibri" w:hAnsi="Calibri" w:cs="Calibri"/>
          <w:b/>
          <w:color w:val="EB0017"/>
          <w:sz w:val="18"/>
        </w:rPr>
        <w:t>SCRIPT</w:t>
      </w:r>
    </w:p>
    <w:p>
      <w:pPr>
        <w:spacing w:after="280"/>
      </w:pPr>
      <w:r>
        <w:rPr>
          <w:rFonts w:ascii="Calibri" w:hAnsi="Calibri" w:cs="Calibri"/>
          <w:color w:val="262836"/>
          <w:sz w:val="22"/>
        </w:rPr>
        <w:t>Here's the runway. We start with who Aon is and why that matters for a portfolio like yours. We move into the 2026 market — property, casualty, and D&amp;O. We zoom into your buildings on a live risk map. Then the framework — what carriers reward, penalize, and ignore — which is the part you'll quote at your next board meeting. We leave fifteen minutes for Q&amp;A, and we close. If anything is dragging or you want to skip ahead, just say so — these slides are clickable.</w:t>
      </w:r>
    </w:p>
    <w:p>
      <w:pPr>
        <w:spacing w:after="40"/>
      </w:pPr>
      <w:r>
        <w:rPr>
          <w:rFonts w:ascii="Calibri" w:hAnsi="Calibri" w:cs="Calibri"/>
          <w:b/>
          <w:color w:val="EB0017"/>
          <w:sz w:val="18"/>
        </w:rPr>
        <w:t>BEATS</w:t>
      </w:r>
    </w:p>
    <w:p>
      <w:pPr>
        <w:pStyle w:val="ListBullet"/>
      </w:pPr>
      <w:r>
        <w:rPr>
          <w:rFonts w:ascii="Calibri" w:hAnsi="Calibri" w:cs="Calibri"/>
          <w:color w:val="262836"/>
          <w:sz w:val="22"/>
        </w:rPr>
        <w:t>Seven sections, ~40 minutes, 15 for Q&amp;A.</w:t>
      </w:r>
    </w:p>
    <w:p>
      <w:pPr>
        <w:pStyle w:val="ListBullet"/>
      </w:pPr>
      <w:r>
        <w:rPr>
          <w:rFonts w:ascii="Calibri" w:hAnsi="Calibri" w:cs="Calibri"/>
          <w:color w:val="262836"/>
          <w:sz w:val="22"/>
        </w:rPr>
        <w:t>Tap any line to jump — built for the room, not for a script.</w:t>
      </w:r>
    </w:p>
    <w:p>
      <w:pPr>
        <w:pStyle w:val="ListBullet"/>
      </w:pPr>
      <w:r>
        <w:rPr>
          <w:rFonts w:ascii="Calibri" w:hAnsi="Calibri" w:cs="Calibri"/>
          <w:color w:val="262836"/>
          <w:sz w:val="22"/>
        </w:rPr>
        <w:t>The framework slide is the one to remember.</w:t>
      </w:r>
    </w:p>
    <w:p>
      <w:r>
        <w:br w:type="page"/>
      </w:r>
    </w:p>
    <w:p>
      <w:pPr>
        <w:spacing w:after="40"/>
      </w:pPr>
      <w:r>
        <w:rPr>
          <w:rFonts w:ascii="Calibri" w:hAnsi="Calibri" w:cs="Calibri"/>
          <w:b/>
          <w:color w:val="EB0017"/>
          <w:sz w:val="22"/>
        </w:rPr>
        <w:t xml:space="preserve">04  ·  </w:t>
      </w:r>
      <w:r>
        <w:rPr>
          <w:rFonts w:ascii="Calibri" w:hAnsi="Calibri" w:cs="Calibri"/>
          <w:b/>
          <w:color w:val="5D6D78"/>
          <w:sz w:val="22"/>
        </w:rPr>
        <w:t>AON AT A GLANCE</w:t>
      </w:r>
    </w:p>
    <w:p>
      <w:pPr>
        <w:spacing w:after="200"/>
      </w:pPr>
      <w:r>
        <w:rPr>
          <w:rFonts w:ascii="Calibri" w:hAnsi="Calibri" w:cs="Calibri"/>
          <w:b/>
          <w:color w:val="262836"/>
          <w:sz w:val="44"/>
        </w:rPr>
        <w:t>The world's leading property broker.</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“Three numbers. That's the firm.”</w:t>
      </w:r>
    </w:p>
    <w:p>
      <w:pPr>
        <w:spacing w:after="40"/>
      </w:pPr>
      <w:r>
        <w:rPr>
          <w:rFonts w:ascii="Calibri" w:hAnsi="Calibri" w:cs="Calibri"/>
          <w:b/>
          <w:color w:val="EB0017"/>
          <w:sz w:val="18"/>
        </w:rPr>
        <w:t>SCRIPT</w:t>
      </w:r>
    </w:p>
    <w:p>
      <w:pPr>
        <w:spacing w:after="280"/>
      </w:pPr>
      <w:r>
        <w:rPr>
          <w:rFonts w:ascii="Calibri" w:hAnsi="Calibri" w:cs="Calibri"/>
          <w:color w:val="262836"/>
          <w:sz w:val="22"/>
        </w:rPr>
        <w:t>Thirteen billion in property premium placed each year. Eight trillion — with a T — in coverage limits in force. Two hundred property brokers across the U.S., London, and Bermuda working off a single book. The reason that matters in this room: when a Bermuda reinsurer changes appetite on January 1st, we know before the press release. We're not a regional broker calling around — we're the firm that capacity follows.</w:t>
      </w:r>
    </w:p>
    <w:p>
      <w:pPr>
        <w:spacing w:after="40"/>
      </w:pPr>
      <w:r>
        <w:rPr>
          <w:rFonts w:ascii="Calibri" w:hAnsi="Calibri" w:cs="Calibri"/>
          <w:b/>
          <w:color w:val="EB0017"/>
          <w:sz w:val="18"/>
        </w:rPr>
        <w:t>BEATS</w:t>
      </w:r>
    </w:p>
    <w:p>
      <w:pPr>
        <w:pStyle w:val="ListBullet"/>
      </w:pPr>
      <w:r>
        <w:rPr>
          <w:rFonts w:ascii="Calibri" w:hAnsi="Calibri" w:cs="Calibri"/>
          <w:color w:val="262836"/>
          <w:sz w:val="22"/>
        </w:rPr>
        <w:t>$13B premium · $8T limits · 200+ brokers.</w:t>
      </w:r>
    </w:p>
    <w:p>
      <w:pPr>
        <w:pStyle w:val="ListBullet"/>
      </w:pPr>
      <w:r>
        <w:rPr>
          <w:rFonts w:ascii="Calibri" w:hAnsi="Calibri" w:cs="Calibri"/>
          <w:color w:val="262836"/>
          <w:sz w:val="22"/>
        </w:rPr>
        <w:t>We aren't reacting to capacity — capacity is reacting to us.</w:t>
      </w:r>
    </w:p>
    <w:p>
      <w:pPr>
        <w:pStyle w:val="ListBullet"/>
      </w:pPr>
      <w:r>
        <w:rPr>
          <w:rFonts w:ascii="Calibri" w:hAnsi="Calibri" w:cs="Calibri"/>
          <w:color w:val="262836"/>
          <w:sz w:val="22"/>
        </w:rPr>
        <w:t>One credit profile across U.S. / London / Bermuda.</w:t>
      </w:r>
    </w:p>
    <w:p>
      <w:r>
        <w:br w:type="page"/>
      </w:r>
    </w:p>
    <w:p>
      <w:pPr>
        <w:spacing w:after="40"/>
      </w:pPr>
      <w:r>
        <w:rPr>
          <w:rFonts w:ascii="Calibri" w:hAnsi="Calibri" w:cs="Calibri"/>
          <w:b/>
          <w:color w:val="EB0017"/>
          <w:sz w:val="22"/>
        </w:rPr>
        <w:t xml:space="preserve">05  ·  </w:t>
      </w:r>
      <w:r>
        <w:rPr>
          <w:rFonts w:ascii="Calibri" w:hAnsi="Calibri" w:cs="Calibri"/>
          <w:b/>
          <w:color w:val="5D6D78"/>
          <w:sz w:val="22"/>
        </w:rPr>
        <w:t>REAL ESTATE SCALE</w:t>
      </w:r>
    </w:p>
    <w:p>
      <w:pPr>
        <w:spacing w:after="200"/>
      </w:pPr>
      <w:r>
        <w:rPr>
          <w:rFonts w:ascii="Calibri" w:hAnsi="Calibri" w:cs="Calibri"/>
          <w:b/>
          <w:color w:val="262836"/>
          <w:sz w:val="44"/>
        </w:rPr>
        <w:t>Aon represents the largest commercial RE portfolios in the U.S.</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“If the numbers on the last slide felt abstract, here's the real-estate cut.”</w:t>
      </w:r>
    </w:p>
    <w:p>
      <w:pPr>
        <w:spacing w:after="40"/>
      </w:pPr>
      <w:r>
        <w:rPr>
          <w:rFonts w:ascii="Calibri" w:hAnsi="Calibri" w:cs="Calibri"/>
          <w:b/>
          <w:color w:val="EB0017"/>
          <w:sz w:val="18"/>
        </w:rPr>
        <w:t>SCRIPT</w:t>
      </w:r>
    </w:p>
    <w:p>
      <w:pPr>
        <w:spacing w:after="280"/>
      </w:pPr>
      <w:r>
        <w:rPr>
          <w:rFonts w:ascii="Calibri" w:hAnsi="Calibri" w:cs="Calibri"/>
          <w:color w:val="262836"/>
          <w:sz w:val="22"/>
        </w:rPr>
        <w:t>Three hundred billion dollars of insured real-estate values flow through Aon. Thirty percent of the largest U.S. real-estate owners — Blackstone, Brookfield, the names you read in the Wall Street Journal — name Aon as their broker of record. Three hundred-plus real-estate clients, $700 million in annual real-estate GWP, $33 billion in program limits. The point isn't bragging — it's that the same forty specialists who price a Blackstone tower price a FirstService building. Same desk, same carriers, same data.</w:t>
      </w:r>
    </w:p>
    <w:p>
      <w:pPr>
        <w:spacing w:after="40"/>
      </w:pPr>
      <w:r>
        <w:rPr>
          <w:rFonts w:ascii="Calibri" w:hAnsi="Calibri" w:cs="Calibri"/>
          <w:b/>
          <w:color w:val="EB0017"/>
          <w:sz w:val="18"/>
        </w:rPr>
        <w:t>BEATS</w:t>
      </w:r>
    </w:p>
    <w:p>
      <w:pPr>
        <w:pStyle w:val="ListBullet"/>
      </w:pPr>
      <w:r>
        <w:rPr>
          <w:rFonts w:ascii="Calibri" w:hAnsi="Calibri" w:cs="Calibri"/>
          <w:color w:val="262836"/>
          <w:sz w:val="22"/>
        </w:rPr>
        <w:t>$300B insured RE values · 30% of the largest U.S. owners.</w:t>
      </w:r>
    </w:p>
    <w:p>
      <w:pPr>
        <w:pStyle w:val="ListBullet"/>
      </w:pPr>
      <w:r>
        <w:rPr>
          <w:rFonts w:ascii="Calibri" w:hAnsi="Calibri" w:cs="Calibri"/>
          <w:color w:val="262836"/>
          <w:sz w:val="22"/>
        </w:rPr>
        <w:t>Same desk that prices REITs prices your buildings.</w:t>
      </w:r>
    </w:p>
    <w:p>
      <w:pPr>
        <w:pStyle w:val="ListBullet"/>
      </w:pPr>
      <w:r>
        <w:rPr>
          <w:rFonts w:ascii="Calibri" w:hAnsi="Calibri" w:cs="Calibri"/>
          <w:color w:val="262836"/>
          <w:sz w:val="22"/>
        </w:rPr>
        <w:t>Forty specialists, fully aligned to RE.</w:t>
      </w:r>
    </w:p>
    <w:p>
      <w:r>
        <w:br w:type="page"/>
      </w:r>
    </w:p>
    <w:p>
      <w:pPr>
        <w:spacing w:after="40"/>
      </w:pPr>
      <w:r>
        <w:rPr>
          <w:rFonts w:ascii="Calibri" w:hAnsi="Calibri" w:cs="Calibri"/>
          <w:b/>
          <w:color w:val="EB0017"/>
          <w:sz w:val="22"/>
        </w:rPr>
        <w:t xml:space="preserve">06  ·  </w:t>
      </w:r>
      <w:r>
        <w:rPr>
          <w:rFonts w:ascii="Calibri" w:hAnsi="Calibri" w:cs="Calibri"/>
          <w:b/>
          <w:color w:val="5D6D78"/>
          <w:sz w:val="22"/>
        </w:rPr>
        <w:t>NATIONAL PROPERTY BROKING</w:t>
      </w:r>
    </w:p>
    <w:p>
      <w:pPr>
        <w:spacing w:after="200"/>
      </w:pPr>
      <w:r>
        <w:rPr>
          <w:rFonts w:ascii="Calibri" w:hAnsi="Calibri" w:cs="Calibri"/>
          <w:b/>
          <w:color w:val="262836"/>
          <w:sz w:val="44"/>
        </w:rPr>
        <w:t>We don't place coverage — we aggregate capacity.</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“Watch the globe — that's not animation, that's our placement footprint.”</w:t>
      </w:r>
    </w:p>
    <w:p>
      <w:pPr>
        <w:spacing w:after="40"/>
      </w:pPr>
      <w:r>
        <w:rPr>
          <w:rFonts w:ascii="Calibri" w:hAnsi="Calibri" w:cs="Calibri"/>
          <w:b/>
          <w:color w:val="EB0017"/>
          <w:sz w:val="18"/>
        </w:rPr>
        <w:t>SCRIPT</w:t>
      </w:r>
    </w:p>
    <w:p>
      <w:pPr>
        <w:spacing w:after="280"/>
      </w:pPr>
      <w:r>
        <w:rPr>
          <w:rFonts w:ascii="Calibri" w:hAnsi="Calibri" w:cs="Calibri"/>
          <w:color w:val="262836"/>
          <w:sz w:val="22"/>
        </w:rPr>
        <w:t>Most brokers place coverage. They take your submission, send it to two or three carriers, and come back with a quote. Aon aggregates capacity — meaning when your building goes to market, it's hitting U.S. admitted, U.S. excess and surplus, London, and Bermuda simultaneously, with two hundred brokers competing those markets against each other on your behalf. That's why a bad layer in Florida can be backfilled overnight from London. One team, one credit profile, every market on earth.</w:t>
      </w:r>
    </w:p>
    <w:p>
      <w:pPr>
        <w:spacing w:after="40"/>
      </w:pPr>
      <w:r>
        <w:rPr>
          <w:rFonts w:ascii="Calibri" w:hAnsi="Calibri" w:cs="Calibri"/>
          <w:b/>
          <w:color w:val="EB0017"/>
          <w:sz w:val="18"/>
        </w:rPr>
        <w:t>BEATS</w:t>
      </w:r>
    </w:p>
    <w:p>
      <w:pPr>
        <w:pStyle w:val="ListBullet"/>
      </w:pPr>
      <w:r>
        <w:rPr>
          <w:rFonts w:ascii="Calibri" w:hAnsi="Calibri" w:cs="Calibri"/>
          <w:color w:val="262836"/>
          <w:sz w:val="22"/>
        </w:rPr>
        <w:t>Placing ≠ aggregating. We do the latter.</w:t>
      </w:r>
    </w:p>
    <w:p>
      <w:pPr>
        <w:pStyle w:val="ListBullet"/>
      </w:pPr>
      <w:r>
        <w:rPr>
          <w:rFonts w:ascii="Calibri" w:hAnsi="Calibri" w:cs="Calibri"/>
          <w:color w:val="262836"/>
          <w:sz w:val="22"/>
        </w:rPr>
        <w:t>Four markets, simultaneous — not sequential.</w:t>
      </w:r>
    </w:p>
    <w:p>
      <w:pPr>
        <w:pStyle w:val="ListBullet"/>
      </w:pPr>
      <w:r>
        <w:rPr>
          <w:rFonts w:ascii="Calibri" w:hAnsi="Calibri" w:cs="Calibri"/>
          <w:color w:val="262836"/>
          <w:sz w:val="22"/>
        </w:rPr>
        <w:t>A bad layer in Miami can be solved in London on the same call.</w:t>
      </w:r>
    </w:p>
    <w:p>
      <w:r>
        <w:br w:type="page"/>
      </w:r>
    </w:p>
    <w:p>
      <w:pPr>
        <w:spacing w:after="40"/>
      </w:pPr>
      <w:r>
        <w:rPr>
          <w:rFonts w:ascii="Calibri" w:hAnsi="Calibri" w:cs="Calibri"/>
          <w:b/>
          <w:color w:val="EB0017"/>
          <w:sz w:val="22"/>
        </w:rPr>
        <w:t xml:space="preserve">07  ·  </w:t>
      </w:r>
      <w:r>
        <w:rPr>
          <w:rFonts w:ascii="Calibri" w:hAnsi="Calibri" w:cs="Calibri"/>
          <w:b/>
          <w:color w:val="5D6D78"/>
          <w:sz w:val="22"/>
        </w:rPr>
        <w:t>MARKETS WE TOUCH</w:t>
      </w:r>
    </w:p>
    <w:p>
      <w:pPr>
        <w:spacing w:after="200"/>
      </w:pPr>
      <w:r>
        <w:rPr>
          <w:rFonts w:ascii="Calibri" w:hAnsi="Calibri" w:cs="Calibri"/>
          <w:b/>
          <w:color w:val="262836"/>
          <w:sz w:val="44"/>
        </w:rPr>
        <w:t>Every market that prices your buildings.</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“These are the names on your policy — every one of them.”</w:t>
      </w:r>
    </w:p>
    <w:p>
      <w:pPr>
        <w:spacing w:after="40"/>
      </w:pPr>
      <w:r>
        <w:rPr>
          <w:rFonts w:ascii="Calibri" w:hAnsi="Calibri" w:cs="Calibri"/>
          <w:b/>
          <w:color w:val="EB0017"/>
          <w:sz w:val="18"/>
        </w:rPr>
        <w:t>SCRIPT</w:t>
      </w:r>
    </w:p>
    <w:p>
      <w:pPr>
        <w:spacing w:after="280"/>
      </w:pPr>
      <w:r>
        <w:rPr>
          <w:rFonts w:ascii="Calibri" w:hAnsi="Calibri" w:cs="Calibri"/>
          <w:color w:val="262836"/>
          <w:sz w:val="22"/>
        </w:rPr>
        <w:t>Fifty-six named markets across four regions. U.S. admitted — AIG, Chubb, FM Global, Zurich. U.S. excess and surplus — RSUI, Westchester, the wholesalers that take Florida wind nobody else will. London — Lloyd's syndicates and the European primary carriers. Bermuda — the reinsurance backstop that supplies the last layer of every catastrophe program. When you ask "did we go to market?" — this is the market we mean. Not a panel of three.</w:t>
      </w:r>
    </w:p>
    <w:p>
      <w:pPr>
        <w:spacing w:after="40"/>
      </w:pPr>
      <w:r>
        <w:rPr>
          <w:rFonts w:ascii="Calibri" w:hAnsi="Calibri" w:cs="Calibri"/>
          <w:b/>
          <w:color w:val="EB0017"/>
          <w:sz w:val="18"/>
        </w:rPr>
        <w:t>BEATS</w:t>
      </w:r>
    </w:p>
    <w:p>
      <w:pPr>
        <w:pStyle w:val="ListBullet"/>
      </w:pPr>
      <w:r>
        <w:rPr>
          <w:rFonts w:ascii="Calibri" w:hAnsi="Calibri" w:cs="Calibri"/>
          <w:color w:val="262836"/>
          <w:sz w:val="22"/>
        </w:rPr>
        <w:t>56 carriers, 4 regions.</w:t>
      </w:r>
    </w:p>
    <w:p>
      <w:pPr>
        <w:pStyle w:val="ListBullet"/>
      </w:pPr>
      <w:r>
        <w:rPr>
          <w:rFonts w:ascii="Calibri" w:hAnsi="Calibri" w:cs="Calibri"/>
          <w:color w:val="262836"/>
          <w:sz w:val="22"/>
        </w:rPr>
        <w:t>E&amp;S is where Florida wind actually clears.</w:t>
      </w:r>
    </w:p>
    <w:p>
      <w:pPr>
        <w:pStyle w:val="ListBullet"/>
      </w:pPr>
      <w:r>
        <w:rPr>
          <w:rFonts w:ascii="Calibri" w:hAnsi="Calibri" w:cs="Calibri"/>
          <w:color w:val="262836"/>
          <w:sz w:val="22"/>
        </w:rPr>
        <w:t>"Did we go to market?" — yes, all of it.</w:t>
      </w:r>
    </w:p>
    <w:p>
      <w:r>
        <w:br w:type="page"/>
      </w:r>
    </w:p>
    <w:p>
      <w:pPr>
        <w:spacing w:after="40"/>
      </w:pPr>
      <w:r>
        <w:rPr>
          <w:rFonts w:ascii="Calibri" w:hAnsi="Calibri" w:cs="Calibri"/>
          <w:b/>
          <w:color w:val="EB0017"/>
          <w:sz w:val="22"/>
        </w:rPr>
        <w:t xml:space="preserve">08  ·  </w:t>
      </w:r>
      <w:r>
        <w:rPr>
          <w:rFonts w:ascii="Calibri" w:hAnsi="Calibri" w:cs="Calibri"/>
          <w:b/>
          <w:color w:val="5D6D78"/>
          <w:sz w:val="22"/>
        </w:rPr>
        <w:t>AON CLIENT TREATY (ACT)</w:t>
      </w:r>
    </w:p>
    <w:p>
      <w:pPr>
        <w:spacing w:after="200"/>
      </w:pPr>
      <w:r>
        <w:rPr>
          <w:rFonts w:ascii="Calibri" w:hAnsi="Calibri" w:cs="Calibri"/>
          <w:b/>
          <w:color w:val="262836"/>
          <w:sz w:val="44"/>
        </w:rPr>
        <w:t>28.5% of every London line, pre-secured.</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“Here's a facility no other broker on earth can offer you.”</w:t>
      </w:r>
    </w:p>
    <w:p>
      <w:pPr>
        <w:spacing w:after="40"/>
      </w:pPr>
      <w:r>
        <w:rPr>
          <w:rFonts w:ascii="Calibri" w:hAnsi="Calibri" w:cs="Calibri"/>
          <w:b/>
          <w:color w:val="EB0017"/>
          <w:sz w:val="18"/>
        </w:rPr>
        <w:t>SCRIPT</w:t>
      </w:r>
    </w:p>
    <w:p>
      <w:pPr>
        <w:spacing w:after="280"/>
      </w:pPr>
      <w:r>
        <w:rPr>
          <w:rFonts w:ascii="Calibri" w:hAnsi="Calibri" w:cs="Calibri"/>
          <w:color w:val="262836"/>
          <w:sz w:val="22"/>
        </w:rPr>
        <w:t>ACT is an Aon-only treaty with eleven Lloyd's carriers — QBE, Liberty, Beazley — who have pre-committed 28.5% of capacity on every eligible London line before the rest of the market quotes. So when your renewal hits London, more than a quarter of the program is already locked, with stable pricing, on a single Lloyd's claims platform. $2.1 billion of GWP has run through it. 1,800 clients, 200 countries. It's why Aon's London quotes come back faster, tighter, and with fewer late surprises. And it's exclusive — not a "preferred relationship," literally exclusive.</w:t>
      </w:r>
    </w:p>
    <w:p>
      <w:pPr>
        <w:spacing w:after="40"/>
      </w:pPr>
      <w:r>
        <w:rPr>
          <w:rFonts w:ascii="Calibri" w:hAnsi="Calibri" w:cs="Calibri"/>
          <w:b/>
          <w:color w:val="EB0017"/>
          <w:sz w:val="18"/>
        </w:rPr>
        <w:t>BEATS</w:t>
      </w:r>
    </w:p>
    <w:p>
      <w:pPr>
        <w:pStyle w:val="ListBullet"/>
      </w:pPr>
      <w:r>
        <w:rPr>
          <w:rFonts w:ascii="Calibri" w:hAnsi="Calibri" w:cs="Calibri"/>
          <w:color w:val="262836"/>
          <w:sz w:val="22"/>
        </w:rPr>
        <w:t>28.5% of London capacity, pre-secured before quoting starts.</w:t>
      </w:r>
    </w:p>
    <w:p>
      <w:pPr>
        <w:pStyle w:val="ListBullet"/>
      </w:pPr>
      <w:r>
        <w:rPr>
          <w:rFonts w:ascii="Calibri" w:hAnsi="Calibri" w:cs="Calibri"/>
          <w:color w:val="262836"/>
          <w:sz w:val="22"/>
        </w:rPr>
        <w:t>Exclusive to Aon — no other broker has a comparable facility.</w:t>
      </w:r>
    </w:p>
    <w:p>
      <w:pPr>
        <w:pStyle w:val="ListBullet"/>
      </w:pPr>
      <w:r>
        <w:rPr>
          <w:rFonts w:ascii="Calibri" w:hAnsi="Calibri" w:cs="Calibri"/>
          <w:color w:val="262836"/>
          <w:sz w:val="22"/>
        </w:rPr>
        <w:t>Faster quotes, fewer late surprises, single-carrier claims service.</w:t>
      </w:r>
    </w:p>
    <w:p>
      <w:r>
        <w:br w:type="page"/>
      </w:r>
    </w:p>
    <w:p>
      <w:pPr>
        <w:spacing w:after="40"/>
      </w:pPr>
      <w:r>
        <w:rPr>
          <w:rFonts w:ascii="Calibri" w:hAnsi="Calibri" w:cs="Calibri"/>
          <w:b/>
          <w:color w:val="EB0017"/>
          <w:sz w:val="22"/>
        </w:rPr>
        <w:t xml:space="preserve">09  ·  </w:t>
      </w:r>
      <w:r>
        <w:rPr>
          <w:rFonts w:ascii="Calibri" w:hAnsi="Calibri" w:cs="Calibri"/>
          <w:b/>
          <w:color w:val="5D6D78"/>
          <w:sz w:val="22"/>
        </w:rPr>
        <w:t>SERVICE OFFERING</w:t>
      </w:r>
    </w:p>
    <w:p>
      <w:pPr>
        <w:spacing w:after="200"/>
      </w:pPr>
      <w:r>
        <w:rPr>
          <w:rFonts w:ascii="Calibri" w:hAnsi="Calibri" w:cs="Calibri"/>
          <w:b/>
          <w:color w:val="262836"/>
          <w:sz w:val="44"/>
        </w:rPr>
        <w:t>The work we do between renewals.</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“The renewal is one day. The other 364 are this.”</w:t>
      </w:r>
    </w:p>
    <w:p>
      <w:pPr>
        <w:spacing w:after="40"/>
      </w:pPr>
      <w:r>
        <w:rPr>
          <w:rFonts w:ascii="Calibri" w:hAnsi="Calibri" w:cs="Calibri"/>
          <w:b/>
          <w:color w:val="EB0017"/>
          <w:sz w:val="18"/>
        </w:rPr>
        <w:t>SCRIPT</w:t>
      </w:r>
    </w:p>
    <w:p>
      <w:pPr>
        <w:spacing w:after="280"/>
      </w:pPr>
      <w:r>
        <w:rPr>
          <w:rFonts w:ascii="Calibri" w:hAnsi="Calibri" w:cs="Calibri"/>
          <w:color w:val="262836"/>
          <w:sz w:val="22"/>
        </w:rPr>
        <w:t>Most brokers earn their commission for one week a year — the placement. We earn it for the other 51. Pre-renewal strategy starts ninety days out, not three weeks. Property engineering — submission-ready COPE data, valuations, modeling — is the difference between four carriers competing and one declining. Cat modeling, premium allocation, claims advocacy, mid-term stewardship, and the Aon Property Risk Analyzer. Click any tile and we'll go deeper — but the headline is: the renewal isn't a moment, it's a workflow.</w:t>
      </w:r>
    </w:p>
    <w:p>
      <w:pPr>
        <w:spacing w:after="40"/>
      </w:pPr>
      <w:r>
        <w:rPr>
          <w:rFonts w:ascii="Calibri" w:hAnsi="Calibri" w:cs="Calibri"/>
          <w:b/>
          <w:color w:val="EB0017"/>
          <w:sz w:val="18"/>
        </w:rPr>
        <w:t>BEATS</w:t>
      </w:r>
    </w:p>
    <w:p>
      <w:pPr>
        <w:pStyle w:val="ListBullet"/>
      </w:pPr>
      <w:r>
        <w:rPr>
          <w:rFonts w:ascii="Calibri" w:hAnsi="Calibri" w:cs="Calibri"/>
          <w:color w:val="262836"/>
          <w:sz w:val="22"/>
        </w:rPr>
        <w:t>One-week brokers vs. 51-week brokers.</w:t>
      </w:r>
    </w:p>
    <w:p>
      <w:pPr>
        <w:pStyle w:val="ListBullet"/>
      </w:pPr>
      <w:r>
        <w:rPr>
          <w:rFonts w:ascii="Calibri" w:hAnsi="Calibri" w:cs="Calibri"/>
          <w:color w:val="262836"/>
          <w:sz w:val="22"/>
        </w:rPr>
        <w:t>The data you submit decides whether four carriers compete or one declines.</w:t>
      </w:r>
    </w:p>
    <w:p>
      <w:pPr>
        <w:pStyle w:val="ListBullet"/>
      </w:pPr>
      <w:r>
        <w:rPr>
          <w:rFonts w:ascii="Calibri" w:hAnsi="Calibri" w:cs="Calibri"/>
          <w:color w:val="262836"/>
          <w:sz w:val="22"/>
        </w:rPr>
        <w:t>Click any tile in the room — these aren't slogans, they're SLAs.</w:t>
      </w:r>
    </w:p>
    <w:p>
      <w:r>
        <w:br w:type="page"/>
      </w:r>
    </w:p>
    <w:p>
      <w:pPr>
        <w:spacing w:after="40"/>
      </w:pPr>
      <w:r>
        <w:rPr>
          <w:rFonts w:ascii="Calibri" w:hAnsi="Calibri" w:cs="Calibri"/>
          <w:b/>
          <w:color w:val="EB0017"/>
          <w:sz w:val="22"/>
        </w:rPr>
        <w:t xml:space="preserve">10  ·  </w:t>
      </w:r>
      <w:r>
        <w:rPr>
          <w:rFonts w:ascii="Calibri" w:hAnsi="Calibri" w:cs="Calibri"/>
          <w:b/>
          <w:color w:val="5D6D78"/>
          <w:sz w:val="22"/>
        </w:rPr>
        <w:t>YOUR DAY-TO-DAY</w:t>
      </w:r>
    </w:p>
    <w:p>
      <w:pPr>
        <w:spacing w:after="200"/>
      </w:pPr>
      <w:r>
        <w:rPr>
          <w:rFonts w:ascii="Calibri" w:hAnsi="Calibri" w:cs="Calibri"/>
          <w:b/>
          <w:color w:val="262836"/>
          <w:sz w:val="44"/>
        </w:rPr>
        <w:t>Background service, not a daily headache.</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“This is the slide you'll actually feel on a Tuesday.”</w:t>
      </w:r>
    </w:p>
    <w:p>
      <w:pPr>
        <w:spacing w:after="40"/>
      </w:pPr>
      <w:r>
        <w:rPr>
          <w:rFonts w:ascii="Calibri" w:hAnsi="Calibri" w:cs="Calibri"/>
          <w:b/>
          <w:color w:val="EB0017"/>
          <w:sz w:val="18"/>
        </w:rPr>
        <w:t>SCRIPT</w:t>
      </w:r>
    </w:p>
    <w:p>
      <w:pPr>
        <w:spacing w:after="280"/>
      </w:pPr>
      <w:r>
        <w:rPr>
          <w:rFonts w:ascii="Calibri" w:hAnsi="Calibri" w:cs="Calibri"/>
          <w:color w:val="262836"/>
          <w:sz w:val="22"/>
        </w:rPr>
        <w:t>The renewal numbers are the ones boards remember. The Tuesday certificate request is the one that consumes your week. The Certificate Center handles COIs same-day, vendor compliance tracking is automated, and routine endorsements run on a two-business-day SLA. You get one named contact who knows your property — not a 1-800 queue. Behind that contact: a defined service bench — Account Executive, Account Manager, Claims Advocate, Risk Engineer — and AGRC on demand. The goal is invisible insurance. You shouldn't be thinking about us until you need us.</w:t>
      </w:r>
    </w:p>
    <w:p>
      <w:pPr>
        <w:spacing w:after="40"/>
      </w:pPr>
      <w:r>
        <w:rPr>
          <w:rFonts w:ascii="Calibri" w:hAnsi="Calibri" w:cs="Calibri"/>
          <w:b/>
          <w:color w:val="EB0017"/>
          <w:sz w:val="18"/>
        </w:rPr>
        <w:t>BEATS</w:t>
      </w:r>
    </w:p>
    <w:p>
      <w:pPr>
        <w:pStyle w:val="ListBullet"/>
      </w:pPr>
      <w:r>
        <w:rPr>
          <w:rFonts w:ascii="Calibri" w:hAnsi="Calibri" w:cs="Calibri"/>
          <w:color w:val="262836"/>
          <w:sz w:val="22"/>
        </w:rPr>
        <w:t>Same-day COIs, automated vendor tracking, no dead inbox.</w:t>
      </w:r>
    </w:p>
    <w:p>
      <w:pPr>
        <w:pStyle w:val="ListBullet"/>
      </w:pPr>
      <w:r>
        <w:rPr>
          <w:rFonts w:ascii="Calibri" w:hAnsi="Calibri" w:cs="Calibri"/>
          <w:color w:val="262836"/>
          <w:sz w:val="22"/>
        </w:rPr>
        <w:t>One named contact, full bench behind them.</w:t>
      </w:r>
    </w:p>
    <w:p>
      <w:pPr>
        <w:pStyle w:val="ListBullet"/>
      </w:pPr>
      <w:r>
        <w:rPr>
          <w:rFonts w:ascii="Calibri" w:hAnsi="Calibri" w:cs="Calibri"/>
          <w:color w:val="262836"/>
          <w:sz w:val="22"/>
        </w:rPr>
        <w:t>"Invisible insurance" is the standard.</w:t>
      </w:r>
    </w:p>
    <w:p>
      <w:r>
        <w:br w:type="page"/>
      </w:r>
    </w:p>
    <w:p>
      <w:pPr>
        <w:spacing w:after="40"/>
      </w:pPr>
      <w:r>
        <w:rPr>
          <w:rFonts w:ascii="Calibri" w:hAnsi="Calibri" w:cs="Calibri"/>
          <w:b/>
          <w:color w:val="EB0017"/>
          <w:sz w:val="22"/>
        </w:rPr>
        <w:t xml:space="preserve">11  ·  </w:t>
      </w:r>
      <w:r>
        <w:rPr>
          <w:rFonts w:ascii="Calibri" w:hAnsi="Calibri" w:cs="Calibri"/>
          <w:b/>
          <w:color w:val="5D6D78"/>
          <w:sz w:val="22"/>
        </w:rPr>
        <w:t>AON GLOBAL RISK CONSULTING (AGRC)</w:t>
      </w:r>
    </w:p>
    <w:p>
      <w:pPr>
        <w:spacing w:after="200"/>
      </w:pPr>
      <w:r>
        <w:rPr>
          <w:rFonts w:ascii="Calibri" w:hAnsi="Calibri" w:cs="Calibri"/>
          <w:b/>
          <w:color w:val="262836"/>
          <w:sz w:val="44"/>
        </w:rPr>
        <w:t>The risk consulting practice behind your placement.</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“Most brokers stop at the policy. We don't.”</w:t>
      </w:r>
    </w:p>
    <w:p>
      <w:pPr>
        <w:spacing w:after="40"/>
      </w:pPr>
      <w:r>
        <w:rPr>
          <w:rFonts w:ascii="Calibri" w:hAnsi="Calibri" w:cs="Calibri"/>
          <w:b/>
          <w:color w:val="EB0017"/>
          <w:sz w:val="18"/>
        </w:rPr>
        <w:t>SCRIPT</w:t>
      </w:r>
    </w:p>
    <w:p>
      <w:pPr>
        <w:spacing w:after="280"/>
      </w:pPr>
      <w:r>
        <w:rPr>
          <w:rFonts w:ascii="Calibri" w:hAnsi="Calibri" w:cs="Calibri"/>
          <w:color w:val="262836"/>
          <w:sz w:val="22"/>
        </w:rPr>
        <w:t>AGRC is 1,300 risk-management consultants across 50 countries — a consulting practice embedded inside the broker. Five pillars: risk control, actuarial, risk-management outsourcing, captive management, and claims consulting. So when you need a replacement-cost valuation for a reserve study, a vendor-contract review, a captive feasibility, or claims preparation after a loss — it's already inside the relationship. You don't hire a separate consultant. Pre-loss, placement, post-loss — same platform, same people.</w:t>
      </w:r>
    </w:p>
    <w:p>
      <w:pPr>
        <w:spacing w:after="40"/>
      </w:pPr>
      <w:r>
        <w:rPr>
          <w:rFonts w:ascii="Calibri" w:hAnsi="Calibri" w:cs="Calibri"/>
          <w:b/>
          <w:color w:val="EB0017"/>
          <w:sz w:val="18"/>
        </w:rPr>
        <w:t>BEATS</w:t>
      </w:r>
    </w:p>
    <w:p>
      <w:pPr>
        <w:pStyle w:val="ListBullet"/>
      </w:pPr>
      <w:r>
        <w:rPr>
          <w:rFonts w:ascii="Calibri" w:hAnsi="Calibri" w:cs="Calibri"/>
          <w:color w:val="262836"/>
          <w:sz w:val="22"/>
        </w:rPr>
        <w:t>1,300 consultants, 50 countries — inside the broker.</w:t>
      </w:r>
    </w:p>
    <w:p>
      <w:pPr>
        <w:pStyle w:val="ListBullet"/>
      </w:pPr>
      <w:r>
        <w:rPr>
          <w:rFonts w:ascii="Calibri" w:hAnsi="Calibri" w:cs="Calibri"/>
          <w:color w:val="262836"/>
          <w:sz w:val="22"/>
        </w:rPr>
        <w:t>Replaces what most boards hire a separate consultant for.</w:t>
      </w:r>
    </w:p>
    <w:p>
      <w:pPr>
        <w:pStyle w:val="ListBullet"/>
      </w:pPr>
      <w:r>
        <w:rPr>
          <w:rFonts w:ascii="Calibri" w:hAnsi="Calibri" w:cs="Calibri"/>
          <w:color w:val="262836"/>
          <w:sz w:val="22"/>
        </w:rPr>
        <w:t>Pre-loss, placement, post-loss — one bench.</w:t>
      </w:r>
    </w:p>
    <w:p>
      <w:r>
        <w:br w:type="page"/>
      </w:r>
    </w:p>
    <w:p>
      <w:pPr>
        <w:spacing w:after="40"/>
      </w:pPr>
      <w:r>
        <w:rPr>
          <w:rFonts w:ascii="Calibri" w:hAnsi="Calibri" w:cs="Calibri"/>
          <w:b/>
          <w:color w:val="EB0017"/>
          <w:sz w:val="22"/>
        </w:rPr>
        <w:t xml:space="preserve">12  ·  </w:t>
      </w:r>
      <w:r>
        <w:rPr>
          <w:rFonts w:ascii="Calibri" w:hAnsi="Calibri" w:cs="Calibri"/>
          <w:b/>
          <w:color w:val="5D6D78"/>
          <w:sz w:val="22"/>
        </w:rPr>
        <w:t>DIGITAL PROPERTY PROFILE</w:t>
      </w:r>
    </w:p>
    <w:p>
      <w:pPr>
        <w:spacing w:after="200"/>
      </w:pPr>
      <w:r>
        <w:rPr>
          <w:rFonts w:ascii="Calibri" w:hAnsi="Calibri" w:cs="Calibri"/>
          <w:b/>
          <w:color w:val="262836"/>
          <w:sz w:val="44"/>
        </w:rPr>
        <w:t>Your buildings, in data the carrier trusts.</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“An underwriter doesn't price what you tell them — they price what you can prove.”</w:t>
      </w:r>
    </w:p>
    <w:p>
      <w:pPr>
        <w:spacing w:after="40"/>
      </w:pPr>
      <w:r>
        <w:rPr>
          <w:rFonts w:ascii="Calibri" w:hAnsi="Calibri" w:cs="Calibri"/>
          <w:b/>
          <w:color w:val="EB0017"/>
          <w:sz w:val="18"/>
        </w:rPr>
        <w:t>SCRIPT</w:t>
      </w:r>
    </w:p>
    <w:p>
      <w:pPr>
        <w:spacing w:after="280"/>
      </w:pPr>
      <w:r>
        <w:rPr>
          <w:rFonts w:ascii="Calibri" w:hAnsi="Calibri" w:cs="Calibri"/>
          <w:color w:val="262836"/>
          <w:sz w:val="22"/>
        </w:rPr>
        <w:t>This is the toolkit that turns "trust me, the roof is fine" into evidence. Drone surveys of every roof and façade, 360 cameras through the mechanical rooms, IoT — Safehub for seismic, Hailios for hail — satellite imagery before and after a storm, mobile inspection forms that flow straight into our proprietary Risk Database. Same data set used pre-loss to underwrite, and post-loss to settle. The carrier sees what we see. That's the leverage.</w:t>
      </w:r>
    </w:p>
    <w:p>
      <w:pPr>
        <w:spacing w:after="40"/>
      </w:pPr>
      <w:r>
        <w:rPr>
          <w:rFonts w:ascii="Calibri" w:hAnsi="Calibri" w:cs="Calibri"/>
          <w:b/>
          <w:color w:val="EB0017"/>
          <w:sz w:val="18"/>
        </w:rPr>
        <w:t>BEATS</w:t>
      </w:r>
    </w:p>
    <w:p>
      <w:pPr>
        <w:pStyle w:val="ListBullet"/>
      </w:pPr>
      <w:r>
        <w:rPr>
          <w:rFonts w:ascii="Calibri" w:hAnsi="Calibri" w:cs="Calibri"/>
          <w:color w:val="262836"/>
          <w:sz w:val="22"/>
        </w:rPr>
        <w:t>Drones, 360s, IoT, satellites — all feeding one database.</w:t>
      </w:r>
    </w:p>
    <w:p>
      <w:pPr>
        <w:pStyle w:val="ListBullet"/>
      </w:pPr>
      <w:r>
        <w:rPr>
          <w:rFonts w:ascii="Calibri" w:hAnsi="Calibri" w:cs="Calibri"/>
          <w:color w:val="262836"/>
          <w:sz w:val="22"/>
        </w:rPr>
        <w:t>Same data underwrites and settles.</w:t>
      </w:r>
    </w:p>
    <w:p>
      <w:pPr>
        <w:pStyle w:val="ListBullet"/>
      </w:pPr>
      <w:r>
        <w:rPr>
          <w:rFonts w:ascii="Calibri" w:hAnsi="Calibri" w:cs="Calibri"/>
          <w:color w:val="262836"/>
          <w:sz w:val="22"/>
        </w:rPr>
        <w:t>Evidence beats narrative — every renewal.</w:t>
      </w:r>
    </w:p>
    <w:p>
      <w:r>
        <w:br w:type="page"/>
      </w:r>
    </w:p>
    <w:p>
      <w:pPr>
        <w:spacing w:after="40"/>
      </w:pPr>
      <w:r>
        <w:rPr>
          <w:rFonts w:ascii="Calibri" w:hAnsi="Calibri" w:cs="Calibri"/>
          <w:b/>
          <w:color w:val="EB0017"/>
          <w:sz w:val="22"/>
        </w:rPr>
        <w:t xml:space="preserve">13  ·  </w:t>
      </w:r>
      <w:r>
        <w:rPr>
          <w:rFonts w:ascii="Calibri" w:hAnsi="Calibri" w:cs="Calibri"/>
          <w:b/>
          <w:color w:val="5D6D78"/>
          <w:sz w:val="22"/>
        </w:rPr>
        <w:t>AON MANUSCRIPT FORM</w:t>
      </w:r>
    </w:p>
    <w:p>
      <w:pPr>
        <w:spacing w:after="200"/>
      </w:pPr>
      <w:r>
        <w:rPr>
          <w:rFonts w:ascii="Calibri" w:hAnsi="Calibri" w:cs="Calibri"/>
          <w:b/>
          <w:color w:val="262836"/>
          <w:sz w:val="44"/>
        </w:rPr>
        <w:t>Same premium. Broader policy.</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“This is the quietest, most valuable thing we do.”</w:t>
      </w:r>
    </w:p>
    <w:p>
      <w:pPr>
        <w:spacing w:after="40"/>
      </w:pPr>
      <w:r>
        <w:rPr>
          <w:rFonts w:ascii="Calibri" w:hAnsi="Calibri" w:cs="Calibri"/>
          <w:b/>
          <w:color w:val="EB0017"/>
          <w:sz w:val="18"/>
        </w:rPr>
        <w:t>SCRIPT</w:t>
      </w:r>
    </w:p>
    <w:p>
      <w:pPr>
        <w:spacing w:after="280"/>
      </w:pPr>
      <w:r>
        <w:rPr>
          <w:rFonts w:ascii="Calibri" w:hAnsi="Calibri" w:cs="Calibri"/>
          <w:color w:val="262836"/>
          <w:sz w:val="22"/>
        </w:rPr>
        <w:t>Most brokers hand you the carrier's policy form. We hand you ours. Four examples on this slide. Sublimits sized to your exposure, not a generic grid. Named-windstorm coverage with one trigger — wind, surge, hail, rain — so there's no finger-pointing the morning after. Replacement cost that flexes if the board redirects post-loss dollars. And — critically — you name the loss adjuster, not the insurer. Same premium dollar, materially better policy. When carriers complain about Aon at renewal, this is usually the slide they're complaining about.</w:t>
      </w:r>
    </w:p>
    <w:p>
      <w:pPr>
        <w:spacing w:after="40"/>
      </w:pPr>
      <w:r>
        <w:rPr>
          <w:rFonts w:ascii="Calibri" w:hAnsi="Calibri" w:cs="Calibri"/>
          <w:b/>
          <w:color w:val="EB0017"/>
          <w:sz w:val="18"/>
        </w:rPr>
        <w:t>BEATS</w:t>
      </w:r>
    </w:p>
    <w:p>
      <w:pPr>
        <w:pStyle w:val="ListBullet"/>
      </w:pPr>
      <w:r>
        <w:rPr>
          <w:rFonts w:ascii="Calibri" w:hAnsi="Calibri" w:cs="Calibri"/>
          <w:color w:val="262836"/>
          <w:sz w:val="22"/>
        </w:rPr>
        <w:t>Aon's form, not the carrier's.</w:t>
      </w:r>
    </w:p>
    <w:p>
      <w:pPr>
        <w:pStyle w:val="ListBullet"/>
      </w:pPr>
      <w:r>
        <w:rPr>
          <w:rFonts w:ascii="Calibri" w:hAnsi="Calibri" w:cs="Calibri"/>
          <w:color w:val="262836"/>
          <w:sz w:val="22"/>
        </w:rPr>
        <w:t>One trigger for named storm = no coverage finger-pointing.</w:t>
      </w:r>
    </w:p>
    <w:p>
      <w:pPr>
        <w:pStyle w:val="ListBullet"/>
      </w:pPr>
      <w:r>
        <w:rPr>
          <w:rFonts w:ascii="Calibri" w:hAnsi="Calibri" w:cs="Calibri"/>
          <w:color w:val="262836"/>
          <w:sz w:val="22"/>
        </w:rPr>
        <w:t>You pick the adjuster — not the carrier.</w:t>
      </w:r>
    </w:p>
    <w:p>
      <w:r>
        <w:br w:type="page"/>
      </w:r>
    </w:p>
    <w:p>
      <w:pPr>
        <w:spacing w:after="40"/>
      </w:pPr>
      <w:r>
        <w:rPr>
          <w:rFonts w:ascii="Calibri" w:hAnsi="Calibri" w:cs="Calibri"/>
          <w:b/>
          <w:color w:val="EB0017"/>
          <w:sz w:val="22"/>
        </w:rPr>
        <w:t xml:space="preserve">14  ·  </w:t>
      </w:r>
      <w:r>
        <w:rPr>
          <w:rFonts w:ascii="Calibri" w:hAnsi="Calibri" w:cs="Calibri"/>
          <w:b/>
          <w:color w:val="5D6D78"/>
          <w:sz w:val="22"/>
        </w:rPr>
        <w:t>AON RAPID RESPONSE</w:t>
      </w:r>
    </w:p>
    <w:p>
      <w:pPr>
        <w:spacing w:after="200"/>
      </w:pPr>
      <w:r>
        <w:rPr>
          <w:rFonts w:ascii="Calibri" w:hAnsi="Calibri" w:cs="Calibri"/>
          <w:b/>
          <w:color w:val="262836"/>
          <w:sz w:val="44"/>
        </w:rPr>
        <w:t>On site within 48–72 hours.</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“The morning after a hurricane is not when you want to be hiring an adjuster.”</w:t>
      </w:r>
    </w:p>
    <w:p>
      <w:pPr>
        <w:spacing w:after="40"/>
      </w:pPr>
      <w:r>
        <w:rPr>
          <w:rFonts w:ascii="Calibri" w:hAnsi="Calibri" w:cs="Calibri"/>
          <w:b/>
          <w:color w:val="EB0017"/>
          <w:sz w:val="18"/>
        </w:rPr>
        <w:t>SCRIPT</w:t>
      </w:r>
    </w:p>
    <w:p>
      <w:pPr>
        <w:spacing w:after="280"/>
      </w:pPr>
      <w:r>
        <w:rPr>
          <w:rFonts w:ascii="Calibri" w:hAnsi="Calibri" w:cs="Calibri"/>
          <w:color w:val="262836"/>
          <w:sz w:val="22"/>
        </w:rPr>
        <w:t>Pre-storm, we map every building's emergency response and resilience baseline. Five days out, automated catastrophe alerts go to your team — wind, surge, hail, fifteen peril types. Storm hits, the Rapid Response coordinator activates. Inside 48 to 72 hours, we have loss mitigation consultants, remediation experts, risk engineers, forensic accountants, and construction estimators on-site — together. First thirty days, we stabilize income, document the loss, win the reserve and interim payments. Ongoing, complex-claims advocacy escalates anything that gets stuck. You're not hiring this team after the loss — they're already in the relationship.</w:t>
      </w:r>
    </w:p>
    <w:p>
      <w:pPr>
        <w:spacing w:after="40"/>
      </w:pPr>
      <w:r>
        <w:rPr>
          <w:rFonts w:ascii="Calibri" w:hAnsi="Calibri" w:cs="Calibri"/>
          <w:b/>
          <w:color w:val="EB0017"/>
          <w:sz w:val="18"/>
        </w:rPr>
        <w:t>BEATS</w:t>
      </w:r>
    </w:p>
    <w:p>
      <w:pPr>
        <w:pStyle w:val="ListBullet"/>
      </w:pPr>
      <w:r>
        <w:rPr>
          <w:rFonts w:ascii="Calibri" w:hAnsi="Calibri" w:cs="Calibri"/>
          <w:color w:val="262836"/>
          <w:sz w:val="22"/>
        </w:rPr>
        <w:t>Pre-storm alerts → 48–72 hr boots on the ground → 30-day stabilization.</w:t>
      </w:r>
    </w:p>
    <w:p>
      <w:pPr>
        <w:pStyle w:val="ListBullet"/>
      </w:pPr>
      <w:r>
        <w:rPr>
          <w:rFonts w:ascii="Calibri" w:hAnsi="Calibri" w:cs="Calibri"/>
          <w:color w:val="262836"/>
          <w:sz w:val="22"/>
        </w:rPr>
        <w:t>Adjusters, engineers, forensic accountants — already named.</w:t>
      </w:r>
    </w:p>
    <w:p>
      <w:pPr>
        <w:pStyle w:val="ListBullet"/>
      </w:pPr>
      <w:r>
        <w:rPr>
          <w:rFonts w:ascii="Calibri" w:hAnsi="Calibri" w:cs="Calibri"/>
          <w:color w:val="262836"/>
          <w:sz w:val="22"/>
        </w:rPr>
        <w:t>Don't hire help after the storm. Have it standing by.</w:t>
      </w:r>
    </w:p>
    <w:p>
      <w:r>
        <w:br w:type="page"/>
      </w:r>
    </w:p>
    <w:p>
      <w:pPr>
        <w:spacing w:after="40"/>
      </w:pPr>
      <w:r>
        <w:rPr>
          <w:rFonts w:ascii="Calibri" w:hAnsi="Calibri" w:cs="Calibri"/>
          <w:b/>
          <w:color w:val="EB0017"/>
          <w:sz w:val="22"/>
        </w:rPr>
        <w:t xml:space="preserve">15  ·  </w:t>
      </w:r>
      <w:r>
        <w:rPr>
          <w:rFonts w:ascii="Calibri" w:hAnsi="Calibri" w:cs="Calibri"/>
          <w:b/>
          <w:color w:val="5D6D78"/>
          <w:sz w:val="22"/>
        </w:rPr>
        <w:t>RENEWAL TIMELINE</w:t>
      </w:r>
    </w:p>
    <w:p>
      <w:pPr>
        <w:spacing w:after="200"/>
      </w:pPr>
      <w:r>
        <w:rPr>
          <w:rFonts w:ascii="Calibri" w:hAnsi="Calibri" w:cs="Calibri"/>
          <w:b/>
          <w:color w:val="262836"/>
          <w:sz w:val="44"/>
        </w:rPr>
        <w:t>120 days, 11 steps.</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“What looks like one day on your calendar is four months on ours.”</w:t>
      </w:r>
    </w:p>
    <w:p>
      <w:pPr>
        <w:spacing w:after="40"/>
      </w:pPr>
      <w:r>
        <w:rPr>
          <w:rFonts w:ascii="Calibri" w:hAnsi="Calibri" w:cs="Calibri"/>
          <w:b/>
          <w:color w:val="EB0017"/>
          <w:sz w:val="18"/>
        </w:rPr>
        <w:t>SCRIPT</w:t>
      </w:r>
    </w:p>
    <w:p>
      <w:pPr>
        <w:spacing w:after="280"/>
      </w:pPr>
      <w:r>
        <w:rPr>
          <w:rFonts w:ascii="Calibri" w:hAnsi="Calibri" w:cs="Calibri"/>
          <w:color w:val="262836"/>
          <w:sz w:val="22"/>
        </w:rPr>
        <w:t>Here's the whole arc. January — kickoff, exposures finalized, modeling refreshed. February — submission released to market. March — underwriter roadshow in London and Bermuda. End of March, quotes come in. April, proposal to your board. Mid-April, order to bind. April 30 — inception. May, post-bind meeting and the stewardship cadence kicks off again. The reason we start in January for an April 30 renewal is the same reason a wedding planner doesn't book the venue the week before: the people you want — the best underwriters at the best carriers — are committed two months early.</w:t>
      </w:r>
    </w:p>
    <w:p>
      <w:pPr>
        <w:spacing w:after="40"/>
      </w:pPr>
      <w:r>
        <w:rPr>
          <w:rFonts w:ascii="Calibri" w:hAnsi="Calibri" w:cs="Calibri"/>
          <w:b/>
          <w:color w:val="EB0017"/>
          <w:sz w:val="18"/>
        </w:rPr>
        <w:t>BEATS</w:t>
      </w:r>
    </w:p>
    <w:p>
      <w:pPr>
        <w:pStyle w:val="ListBullet"/>
      </w:pPr>
      <w:r>
        <w:rPr>
          <w:rFonts w:ascii="Calibri" w:hAnsi="Calibri" w:cs="Calibri"/>
          <w:color w:val="262836"/>
          <w:sz w:val="22"/>
        </w:rPr>
        <w:t>January start for April 30 inception.</w:t>
      </w:r>
    </w:p>
    <w:p>
      <w:pPr>
        <w:pStyle w:val="ListBullet"/>
      </w:pPr>
      <w:r>
        <w:rPr>
          <w:rFonts w:ascii="Calibri" w:hAnsi="Calibri" w:cs="Calibri"/>
          <w:color w:val="262836"/>
          <w:sz w:val="22"/>
        </w:rPr>
        <w:t>The good underwriters are committed two months out.</w:t>
      </w:r>
    </w:p>
    <w:p>
      <w:pPr>
        <w:pStyle w:val="ListBullet"/>
      </w:pPr>
      <w:r>
        <w:rPr>
          <w:rFonts w:ascii="Calibri" w:hAnsi="Calibri" w:cs="Calibri"/>
          <w:color w:val="262836"/>
          <w:sz w:val="22"/>
        </w:rPr>
        <w:t>Late submissions buy uncertainty pricing — every time.</w:t>
      </w:r>
    </w:p>
    <w:p>
      <w:r>
        <w:br w:type="page"/>
      </w:r>
    </w:p>
    <w:p>
      <w:pPr>
        <w:spacing w:after="40"/>
      </w:pPr>
      <w:r>
        <w:rPr>
          <w:rFonts w:ascii="Calibri" w:hAnsi="Calibri" w:cs="Calibri"/>
          <w:b/>
          <w:color w:val="EB0017"/>
          <w:sz w:val="22"/>
        </w:rPr>
        <w:t xml:space="preserve">16  ·  </w:t>
      </w:r>
      <w:r>
        <w:rPr>
          <w:rFonts w:ascii="Calibri" w:hAnsi="Calibri" w:cs="Calibri"/>
          <w:b/>
          <w:color w:val="5D6D78"/>
          <w:sz w:val="22"/>
        </w:rPr>
        <w:t>CASUALTY &amp; D&amp;O</w:t>
      </w:r>
    </w:p>
    <w:p>
      <w:pPr>
        <w:spacing w:after="200"/>
      </w:pPr>
      <w:r>
        <w:rPr>
          <w:rFonts w:ascii="Calibri" w:hAnsi="Calibri" w:cs="Calibri"/>
          <w:b/>
          <w:color w:val="262836"/>
          <w:sz w:val="44"/>
        </w:rPr>
        <w:t>Property is the headline. Casualty and D&amp;O are the long tail.</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“The wind story dominates Florida. The rest is where boards actually get sued.”</w:t>
      </w:r>
    </w:p>
    <w:p>
      <w:pPr>
        <w:spacing w:after="40"/>
      </w:pPr>
      <w:r>
        <w:rPr>
          <w:rFonts w:ascii="Calibri" w:hAnsi="Calibri" w:cs="Calibri"/>
          <w:b/>
          <w:color w:val="EB0017"/>
          <w:sz w:val="18"/>
        </w:rPr>
        <w:t>SCRIPT</w:t>
      </w:r>
    </w:p>
    <w:p>
      <w:pPr>
        <w:spacing w:after="280"/>
      </w:pPr>
      <w:r>
        <w:rPr>
          <w:rFonts w:ascii="Calibri" w:hAnsi="Calibri" w:cs="Calibri"/>
          <w:color w:val="262836"/>
          <w:sz w:val="22"/>
        </w:rPr>
        <w:t>Three columns. General liability is roughly flat — minus 0.4% on average — but 54% of accounts still saw increases. The average hides the spread. Umbrella and excess is still climbing — plus 3.4%, plus 7.3% on accounts above $250K premium — because nuclear verdicts keep arriving. Single-plaintiff outcomes now average $5 million-plus. And D&amp;O — for boards specifically — special-assessment fights and construction-defect spillover are the top claim drivers. Aon places D&amp;O for 26% of the Fortune 100, which means the playbook is mature. We just scale it down.</w:t>
      </w:r>
    </w:p>
    <w:p>
      <w:pPr>
        <w:spacing w:after="40"/>
      </w:pPr>
      <w:r>
        <w:rPr>
          <w:rFonts w:ascii="Calibri" w:hAnsi="Calibri" w:cs="Calibri"/>
          <w:b/>
          <w:color w:val="EB0017"/>
          <w:sz w:val="18"/>
        </w:rPr>
        <w:t>BEATS</w:t>
      </w:r>
    </w:p>
    <w:p>
      <w:pPr>
        <w:pStyle w:val="ListBullet"/>
      </w:pPr>
      <w:r>
        <w:rPr>
          <w:rFonts w:ascii="Calibri" w:hAnsi="Calibri" w:cs="Calibri"/>
          <w:color w:val="262836"/>
          <w:sz w:val="22"/>
        </w:rPr>
        <w:t>GL flat on average, but the spread is wide.</w:t>
      </w:r>
    </w:p>
    <w:p>
      <w:pPr>
        <w:pStyle w:val="ListBullet"/>
      </w:pPr>
      <w:r>
        <w:rPr>
          <w:rFonts w:ascii="Calibri" w:hAnsi="Calibri" w:cs="Calibri"/>
          <w:color w:val="262836"/>
          <w:sz w:val="22"/>
        </w:rPr>
        <w:t>Umbrella still climbing — nuclear verdicts driving it.</w:t>
      </w:r>
    </w:p>
    <w:p>
      <w:pPr>
        <w:pStyle w:val="ListBullet"/>
      </w:pPr>
      <w:r>
        <w:rPr>
          <w:rFonts w:ascii="Calibri" w:hAnsi="Calibri" w:cs="Calibri"/>
          <w:color w:val="262836"/>
          <w:sz w:val="22"/>
        </w:rPr>
        <w:t>Special assessments + construction defect = top D&amp;O drivers for condo boards.</w:t>
      </w:r>
    </w:p>
    <w:p>
      <w:r>
        <w:br w:type="page"/>
      </w:r>
    </w:p>
    <w:p>
      <w:pPr>
        <w:spacing w:after="40"/>
      </w:pPr>
      <w:r>
        <w:rPr>
          <w:rFonts w:ascii="Calibri" w:hAnsi="Calibri" w:cs="Calibri"/>
          <w:b/>
          <w:color w:val="EB0017"/>
          <w:sz w:val="22"/>
        </w:rPr>
        <w:t xml:space="preserve">17  ·  </w:t>
      </w:r>
      <w:r>
        <w:rPr>
          <w:rFonts w:ascii="Calibri" w:hAnsi="Calibri" w:cs="Calibri"/>
          <w:b/>
          <w:color w:val="5D6D78"/>
          <w:sz w:val="22"/>
        </w:rPr>
        <w:t>P&amp;C MARKET 2026</w:t>
      </w:r>
    </w:p>
    <w:p>
      <w:pPr>
        <w:spacing w:after="200"/>
      </w:pPr>
      <w:r>
        <w:rPr>
          <w:rFonts w:ascii="Calibri" w:hAnsi="Calibri" w:cs="Calibri"/>
          <w:b/>
          <w:color w:val="262836"/>
          <w:sz w:val="44"/>
        </w:rPr>
        <w:t>The 8th straight quarter of rate decline.</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“If the last few years felt brutal, the data has turned.”</w:t>
      </w:r>
    </w:p>
    <w:p>
      <w:pPr>
        <w:spacing w:after="40"/>
      </w:pPr>
      <w:r>
        <w:rPr>
          <w:rFonts w:ascii="Calibri" w:hAnsi="Calibri" w:cs="Calibri"/>
          <w:b/>
          <w:color w:val="EB0017"/>
          <w:sz w:val="18"/>
        </w:rPr>
        <w:t>SCRIPT</w:t>
      </w:r>
    </w:p>
    <w:p>
      <w:pPr>
        <w:spacing w:after="280"/>
      </w:pPr>
      <w:r>
        <w:rPr>
          <w:rFonts w:ascii="Calibri" w:hAnsi="Calibri" w:cs="Calibri"/>
          <w:color w:val="262836"/>
          <w:sz w:val="22"/>
        </w:rPr>
        <w:t>Four tabs — bear with me. Snapshot: average property rate is down 15.1% in Q1, eighth straight quarter of negative rate change. By peril: every CAT line is down — Tier I wind down 18%, all CAT down nearly 19%. By program: shared and layered programs are seeing minus 20%, single-carrier paper minus 9% — that gap is where structural decisions earn their keep. Outlook: continuation of the trend through Q2, supported by record reinsurance capital and a benign 2025 hurricane season. The bullet to remember: it's a buyer's market for clean property risk — but it's loss-sensitive. One meaningful 2026 cat event ends the run.</w:t>
      </w:r>
    </w:p>
    <w:p>
      <w:pPr>
        <w:spacing w:after="40"/>
      </w:pPr>
      <w:r>
        <w:rPr>
          <w:rFonts w:ascii="Calibri" w:hAnsi="Calibri" w:cs="Calibri"/>
          <w:b/>
          <w:color w:val="EB0017"/>
          <w:sz w:val="18"/>
        </w:rPr>
        <w:t>BEATS</w:t>
      </w:r>
    </w:p>
    <w:p>
      <w:pPr>
        <w:pStyle w:val="ListBullet"/>
      </w:pPr>
      <w:r>
        <w:rPr>
          <w:rFonts w:ascii="Calibri" w:hAnsi="Calibri" w:cs="Calibri"/>
          <w:color w:val="262836"/>
          <w:sz w:val="22"/>
        </w:rPr>
        <w:t>8th straight quarter of negative rate change.</w:t>
      </w:r>
    </w:p>
    <w:p>
      <w:pPr>
        <w:pStyle w:val="ListBullet"/>
      </w:pPr>
      <w:r>
        <w:rPr>
          <w:rFonts w:ascii="Calibri" w:hAnsi="Calibri" w:cs="Calibri"/>
          <w:color w:val="262836"/>
          <w:sz w:val="22"/>
        </w:rPr>
        <w:t>Layered programs are giving up the most ground — restructure to capture it.</w:t>
      </w:r>
    </w:p>
    <w:p>
      <w:pPr>
        <w:pStyle w:val="ListBullet"/>
      </w:pPr>
      <w:r>
        <w:rPr>
          <w:rFonts w:ascii="Calibri" w:hAnsi="Calibri" w:cs="Calibri"/>
          <w:color w:val="262836"/>
          <w:sz w:val="22"/>
        </w:rPr>
        <w:t>Buyer's market, but one storm flips it.</w:t>
      </w:r>
    </w:p>
    <w:p>
      <w:r>
        <w:br w:type="page"/>
      </w:r>
    </w:p>
    <w:p>
      <w:pPr>
        <w:spacing w:after="40"/>
      </w:pPr>
      <w:r>
        <w:rPr>
          <w:rFonts w:ascii="Calibri" w:hAnsi="Calibri" w:cs="Calibri"/>
          <w:b/>
          <w:color w:val="EB0017"/>
          <w:sz w:val="22"/>
        </w:rPr>
        <w:t xml:space="preserve">18  ·  </w:t>
      </w:r>
      <w:r>
        <w:rPr>
          <w:rFonts w:ascii="Calibri" w:hAnsi="Calibri" w:cs="Calibri"/>
          <w:b/>
          <w:color w:val="5D6D78"/>
          <w:sz w:val="22"/>
        </w:rPr>
        <w:t>70 YEARS OF STORMS</w:t>
      </w:r>
    </w:p>
    <w:p>
      <w:pPr>
        <w:spacing w:after="200"/>
      </w:pPr>
      <w:r>
        <w:rPr>
          <w:rFonts w:ascii="Calibri" w:hAnsi="Calibri" w:cs="Calibri"/>
          <w:b/>
          <w:color w:val="262836"/>
          <w:sz w:val="44"/>
        </w:rPr>
        <w:t>One basin.</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“Just watch for a moment.”</w:t>
      </w:r>
    </w:p>
    <w:p>
      <w:pPr>
        <w:spacing w:after="40"/>
      </w:pPr>
      <w:r>
        <w:rPr>
          <w:rFonts w:ascii="Calibri" w:hAnsi="Calibri" w:cs="Calibri"/>
          <w:b/>
          <w:color w:val="EB0017"/>
          <w:sz w:val="18"/>
        </w:rPr>
        <w:t>SCRIPT</w:t>
      </w:r>
    </w:p>
    <w:p>
      <w:pPr>
        <w:spacing w:after="280"/>
      </w:pPr>
      <w:r>
        <w:rPr>
          <w:rFonts w:ascii="Calibri" w:hAnsi="Calibri" w:cs="Calibri"/>
          <w:color w:val="262836"/>
          <w:sz w:val="22"/>
        </w:rPr>
        <w:t>Every line on this map is a tropical storm or hurricane that crossed the Atlantic basin since 1950. Twelve of them were Category 5 strength. Your buildings sit inside the surge zones the County evacuates first — Zone A, often Zone B. This is not the brochure map. This is the map your underwriter pulls up before they quote. When a London syndicate looks at your submission, they don't see Brickell — they see this. Which is why, on the next slide, we don't argue with the math. We work with it.</w:t>
      </w:r>
    </w:p>
    <w:p>
      <w:pPr>
        <w:spacing w:after="40"/>
      </w:pPr>
      <w:r>
        <w:rPr>
          <w:rFonts w:ascii="Calibri" w:hAnsi="Calibri" w:cs="Calibri"/>
          <w:b/>
          <w:color w:val="EB0017"/>
          <w:sz w:val="18"/>
        </w:rPr>
        <w:t>BEATS</w:t>
      </w:r>
    </w:p>
    <w:p>
      <w:pPr>
        <w:pStyle w:val="ListBullet"/>
      </w:pPr>
      <w:r>
        <w:rPr>
          <w:rFonts w:ascii="Calibri" w:hAnsi="Calibri" w:cs="Calibri"/>
          <w:color w:val="262836"/>
          <w:sz w:val="22"/>
        </w:rPr>
        <w:t>70 years of storms, one basin, 12 at Cat-5.</w:t>
      </w:r>
    </w:p>
    <w:p>
      <w:pPr>
        <w:pStyle w:val="ListBullet"/>
      </w:pPr>
      <w:r>
        <w:rPr>
          <w:rFonts w:ascii="Calibri" w:hAnsi="Calibri" w:cs="Calibri"/>
          <w:color w:val="262836"/>
          <w:sz w:val="22"/>
        </w:rPr>
        <w:t>Your buildings sit in the first-evacuation surge zones.</w:t>
      </w:r>
    </w:p>
    <w:p>
      <w:pPr>
        <w:pStyle w:val="ListBullet"/>
      </w:pPr>
      <w:r>
        <w:rPr>
          <w:rFonts w:ascii="Calibri" w:hAnsi="Calibri" w:cs="Calibri"/>
          <w:color w:val="262836"/>
          <w:sz w:val="22"/>
        </w:rPr>
        <w:t>This is the underwriter's map — not yours.</w:t>
      </w:r>
    </w:p>
    <w:p>
      <w:r>
        <w:br w:type="page"/>
      </w:r>
    </w:p>
    <w:p>
      <w:pPr>
        <w:spacing w:after="40"/>
      </w:pPr>
      <w:r>
        <w:rPr>
          <w:rFonts w:ascii="Calibri" w:hAnsi="Calibri" w:cs="Calibri"/>
          <w:b/>
          <w:color w:val="EB0017"/>
          <w:sz w:val="22"/>
        </w:rPr>
        <w:t xml:space="preserve">19  ·  </w:t>
      </w:r>
      <w:r>
        <w:rPr>
          <w:rFonts w:ascii="Calibri" w:hAnsi="Calibri" w:cs="Calibri"/>
          <w:b/>
          <w:color w:val="5D6D78"/>
          <w:sz w:val="22"/>
        </w:rPr>
        <w:t>2026 ATLANTIC OUTLOOK</w:t>
      </w:r>
    </w:p>
    <w:p>
      <w:pPr>
        <w:spacing w:after="200"/>
      </w:pPr>
      <w:r>
        <w:rPr>
          <w:rFonts w:ascii="Calibri" w:hAnsi="Calibri" w:cs="Calibri"/>
          <w:b/>
          <w:color w:val="262836"/>
          <w:sz w:val="44"/>
        </w:rPr>
        <w:t>Slightly below average.</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“The good news, with a caveat.”</w:t>
      </w:r>
    </w:p>
    <w:p>
      <w:pPr>
        <w:spacing w:after="40"/>
      </w:pPr>
      <w:r>
        <w:rPr>
          <w:rFonts w:ascii="Calibri" w:hAnsi="Calibri" w:cs="Calibri"/>
          <w:b/>
          <w:color w:val="EB0017"/>
          <w:sz w:val="18"/>
        </w:rPr>
        <w:t>SCRIPT</w:t>
      </w:r>
    </w:p>
    <w:p>
      <w:pPr>
        <w:spacing w:after="280"/>
      </w:pPr>
      <w:r>
        <w:rPr>
          <w:rFonts w:ascii="Calibri" w:hAnsi="Calibri" w:cs="Calibri"/>
          <w:color w:val="262836"/>
          <w:sz w:val="22"/>
        </w:rPr>
        <w:t>Twelve named storms forecast — versus a 14-storm climatology. Six hurricanes versus seven. Two major hurricanes versus three. Roughly 25 to 33% below average. Three drivers: El Niño returning, possibly to super-El Niño levels by late summer; elevated wind shear that tears storms apart before they organize; cooler Atlantic sea-surface temperatures than 2024 — less fuel. So the meteorology is friendly. But — and this is the line — it only takes one landfall to reset every assumption on this slide. Andrew was a quiet season. So was Michael. Bind before June 1.</w:t>
      </w:r>
    </w:p>
    <w:p>
      <w:pPr>
        <w:spacing w:after="40"/>
      </w:pPr>
      <w:r>
        <w:rPr>
          <w:rFonts w:ascii="Calibri" w:hAnsi="Calibri" w:cs="Calibri"/>
          <w:b/>
          <w:color w:val="EB0017"/>
          <w:sz w:val="18"/>
        </w:rPr>
        <w:t>BEATS</w:t>
      </w:r>
    </w:p>
    <w:p>
      <w:pPr>
        <w:pStyle w:val="ListBullet"/>
      </w:pPr>
      <w:r>
        <w:rPr>
          <w:rFonts w:ascii="Calibri" w:hAnsi="Calibri" w:cs="Calibri"/>
          <w:color w:val="262836"/>
          <w:sz w:val="22"/>
        </w:rPr>
        <w:t>12 / 6 / 2 — below climatology across the board.</w:t>
      </w:r>
    </w:p>
    <w:p>
      <w:pPr>
        <w:pStyle w:val="ListBullet"/>
      </w:pPr>
      <w:r>
        <w:rPr>
          <w:rFonts w:ascii="Calibri" w:hAnsi="Calibri" w:cs="Calibri"/>
          <w:color w:val="262836"/>
          <w:sz w:val="22"/>
        </w:rPr>
        <w:t>Three drivers: El Niño, wind shear, cooler SSTs.</w:t>
      </w:r>
    </w:p>
    <w:p>
      <w:pPr>
        <w:pStyle w:val="ListBullet"/>
      </w:pPr>
      <w:r>
        <w:rPr>
          <w:rFonts w:ascii="Calibri" w:hAnsi="Calibri" w:cs="Calibri"/>
          <w:color w:val="262836"/>
          <w:sz w:val="22"/>
        </w:rPr>
        <w:t>Andrew was a quiet season. Bind before June 1.</w:t>
      </w:r>
    </w:p>
    <w:p>
      <w:r>
        <w:br w:type="page"/>
      </w:r>
    </w:p>
    <w:p>
      <w:pPr>
        <w:spacing w:after="40"/>
      </w:pPr>
      <w:r>
        <w:rPr>
          <w:rFonts w:ascii="Calibri" w:hAnsi="Calibri" w:cs="Calibri"/>
          <w:b/>
          <w:color w:val="EB0017"/>
          <w:sz w:val="22"/>
        </w:rPr>
        <w:t xml:space="preserve">20  ·  </w:t>
      </w:r>
      <w:r>
        <w:rPr>
          <w:rFonts w:ascii="Calibri" w:hAnsi="Calibri" w:cs="Calibri"/>
          <w:b/>
          <w:color w:val="5D6D78"/>
          <w:sz w:val="22"/>
        </w:rPr>
        <w:t>PREDICTIVE AI LAYER</w:t>
      </w:r>
    </w:p>
    <w:p>
      <w:pPr>
        <w:spacing w:after="200"/>
      </w:pPr>
      <w:r>
        <w:rPr>
          <w:rFonts w:ascii="Calibri" w:hAnsi="Calibri" w:cs="Calibri"/>
          <w:b/>
          <w:color w:val="262836"/>
          <w:sz w:val="44"/>
        </w:rPr>
        <w:t>When does the next one reach your portfolio?</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“This is live — these are the actual probabilities your portfolio is being priced against.”</w:t>
      </w:r>
    </w:p>
    <w:p>
      <w:pPr>
        <w:spacing w:after="40"/>
      </w:pPr>
      <w:r>
        <w:rPr>
          <w:rFonts w:ascii="Calibri" w:hAnsi="Calibri" w:cs="Calibri"/>
          <w:b/>
          <w:color w:val="EB0017"/>
          <w:sz w:val="18"/>
        </w:rPr>
        <w:t>SCRIPT</w:t>
      </w:r>
    </w:p>
    <w:p>
      <w:pPr>
        <w:spacing w:after="280"/>
      </w:pPr>
      <w:r>
        <w:rPr>
          <w:rFonts w:ascii="Calibri" w:hAnsi="Calibri" w:cs="Calibri"/>
          <w:color w:val="262836"/>
          <w:sz w:val="22"/>
        </w:rPr>
        <w:t>The map shows a 12-month forward outlook for the Florida watch zone, drawn from five sources: the historical HURDAT2 base rate, CSU Klotzbach, NOAA CPC, the Weather Company / Atmospheric G2, and our own predictive synthesis. Click any model — the map and stats update. The number to anchor on: probability of a Cat-1 or stronger storm passing within 50 miles of Brickell in the next 12 months. Click through them and you'll see the spread — illustrative versus cited — but the synthesis converges around a real, non-trivial number. Thirty-three days to June 1. Every named storm the basin produces tightens the rate floor and pulls capacity off the table. That's not theatre — it's how underwriters reprice in real time.</w:t>
      </w:r>
    </w:p>
    <w:p>
      <w:pPr>
        <w:spacing w:after="40"/>
      </w:pPr>
      <w:r>
        <w:rPr>
          <w:rFonts w:ascii="Calibri" w:hAnsi="Calibri" w:cs="Calibri"/>
          <w:b/>
          <w:color w:val="EB0017"/>
          <w:sz w:val="18"/>
        </w:rPr>
        <w:t>BEATS</w:t>
      </w:r>
    </w:p>
    <w:p>
      <w:pPr>
        <w:pStyle w:val="ListBullet"/>
      </w:pPr>
      <w:r>
        <w:rPr>
          <w:rFonts w:ascii="Calibri" w:hAnsi="Calibri" w:cs="Calibri"/>
          <w:color w:val="262836"/>
          <w:sz w:val="22"/>
        </w:rPr>
        <w:t>Five models, one map, real probabilities.</w:t>
      </w:r>
    </w:p>
    <w:p>
      <w:pPr>
        <w:pStyle w:val="ListBullet"/>
      </w:pPr>
      <w:r>
        <w:rPr>
          <w:rFonts w:ascii="Calibri" w:hAnsi="Calibri" w:cs="Calibri"/>
          <w:color w:val="262836"/>
          <w:sz w:val="22"/>
        </w:rPr>
        <w:t>The Brickell 50-mile / 12-month number is the one to remember.</w:t>
      </w:r>
    </w:p>
    <w:p>
      <w:pPr>
        <w:pStyle w:val="ListBullet"/>
      </w:pPr>
      <w:r>
        <w:rPr>
          <w:rFonts w:ascii="Calibri" w:hAnsi="Calibri" w:cs="Calibri"/>
          <w:color w:val="262836"/>
          <w:sz w:val="22"/>
        </w:rPr>
        <w:t>Every named storm pre-bind = more expensive renewal.</w:t>
      </w:r>
    </w:p>
    <w:p>
      <w:r>
        <w:br w:type="page"/>
      </w:r>
    </w:p>
    <w:p>
      <w:pPr>
        <w:spacing w:after="40"/>
      </w:pPr>
      <w:r>
        <w:rPr>
          <w:rFonts w:ascii="Calibri" w:hAnsi="Calibri" w:cs="Calibri"/>
          <w:b/>
          <w:color w:val="EB0017"/>
          <w:sz w:val="22"/>
        </w:rPr>
        <w:t xml:space="preserve">21  ·  </w:t>
      </w:r>
      <w:r>
        <w:rPr>
          <w:rFonts w:ascii="Calibri" w:hAnsi="Calibri" w:cs="Calibri"/>
          <w:b/>
          <w:color w:val="5D6D78"/>
          <w:sz w:val="22"/>
        </w:rPr>
        <w:t>YOUR BUILDING</w:t>
      </w:r>
    </w:p>
    <w:p>
      <w:pPr>
        <w:spacing w:after="200"/>
      </w:pPr>
      <w:r>
        <w:rPr>
          <w:rFonts w:ascii="Calibri" w:hAnsi="Calibri" w:cs="Calibri"/>
          <w:b/>
          <w:color w:val="262836"/>
          <w:sz w:val="44"/>
        </w:rPr>
        <w:t>Find yours on the Miami skyline.</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“Click yours. Or — if you're brave — click your neighbor's.”</w:t>
      </w:r>
    </w:p>
    <w:p>
      <w:pPr>
        <w:spacing w:after="40"/>
      </w:pPr>
      <w:r>
        <w:rPr>
          <w:rFonts w:ascii="Calibri" w:hAnsi="Calibri" w:cs="Calibri"/>
          <w:b/>
          <w:color w:val="EB0017"/>
          <w:sz w:val="18"/>
        </w:rPr>
        <w:t>SCRIPT</w:t>
      </w:r>
    </w:p>
    <w:p>
      <w:pPr>
        <w:spacing w:after="280"/>
      </w:pPr>
      <w:r>
        <w:rPr>
          <w:rFonts w:ascii="Calibri" w:hAnsi="Calibri" w:cs="Calibri"/>
          <w:color w:val="262836"/>
          <w:sz w:val="22"/>
        </w:rPr>
        <w:t>Seven of your buildings, on a live 3D map of Miami. Each pin is colored by overall risk tier. Toggle "Manager view" and you see what you see every day — stories, units, distance to water. Toggle "Underwriter view" — same buildings, scored the way a property carrier prices them. FEMA zone, distance to water, year built, loss frequency. The buildings haven't changed. Only the lens has. And the lens is what determines rate. Click any pin and we'll go a layer deeper into that asset.</w:t>
      </w:r>
    </w:p>
    <w:p>
      <w:pPr>
        <w:spacing w:after="40"/>
      </w:pPr>
      <w:r>
        <w:rPr>
          <w:rFonts w:ascii="Calibri" w:hAnsi="Calibri" w:cs="Calibri"/>
          <w:b/>
          <w:color w:val="EB0017"/>
          <w:sz w:val="18"/>
        </w:rPr>
        <w:t>BEATS</w:t>
      </w:r>
    </w:p>
    <w:p>
      <w:pPr>
        <w:pStyle w:val="ListBullet"/>
      </w:pPr>
      <w:r>
        <w:rPr>
          <w:rFonts w:ascii="Calibri" w:hAnsi="Calibri" w:cs="Calibri"/>
          <w:color w:val="262836"/>
          <w:sz w:val="22"/>
        </w:rPr>
        <w:t>Same seven buildings, two lenses — manager vs. underwriter.</w:t>
      </w:r>
    </w:p>
    <w:p>
      <w:pPr>
        <w:pStyle w:val="ListBullet"/>
      </w:pPr>
      <w:r>
        <w:rPr>
          <w:rFonts w:ascii="Calibri" w:hAnsi="Calibri" w:cs="Calibri"/>
          <w:color w:val="262836"/>
          <w:sz w:val="22"/>
        </w:rPr>
        <w:t>The lens determines rate, not the building.</w:t>
      </w:r>
    </w:p>
    <w:p>
      <w:pPr>
        <w:pStyle w:val="ListBullet"/>
      </w:pPr>
      <w:r>
        <w:rPr>
          <w:rFonts w:ascii="Calibri" w:hAnsi="Calibri" w:cs="Calibri"/>
          <w:color w:val="262836"/>
          <w:sz w:val="22"/>
        </w:rPr>
        <w:t>Click a pin — every asset has a profile.</w:t>
      </w:r>
    </w:p>
    <w:p>
      <w:r>
        <w:br w:type="page"/>
      </w:r>
    </w:p>
    <w:p>
      <w:pPr>
        <w:spacing w:after="40"/>
      </w:pPr>
      <w:r>
        <w:rPr>
          <w:rFonts w:ascii="Calibri" w:hAnsi="Calibri" w:cs="Calibri"/>
          <w:b/>
          <w:color w:val="EB0017"/>
          <w:sz w:val="22"/>
        </w:rPr>
        <w:t xml:space="preserve">22  ·  </w:t>
      </w:r>
      <w:r>
        <w:rPr>
          <w:rFonts w:ascii="Calibri" w:hAnsi="Calibri" w:cs="Calibri"/>
          <w:b/>
          <w:color w:val="5D6D78"/>
          <w:sz w:val="22"/>
        </w:rPr>
        <w:t>FRAMEWORK — REWARD</w:t>
      </w:r>
    </w:p>
    <w:p>
      <w:pPr>
        <w:spacing w:after="200"/>
      </w:pPr>
      <w:r>
        <w:rPr>
          <w:rFonts w:ascii="Calibri" w:hAnsi="Calibri" w:cs="Calibri"/>
          <w:b/>
          <w:color w:val="262836"/>
          <w:sz w:val="44"/>
        </w:rPr>
        <w:t>What underwriters reward.</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“Framework time. This is the slide your boards need.”</w:t>
      </w:r>
    </w:p>
    <w:p>
      <w:pPr>
        <w:spacing w:after="40"/>
      </w:pPr>
      <w:r>
        <w:rPr>
          <w:rFonts w:ascii="Calibri" w:hAnsi="Calibri" w:cs="Calibri"/>
          <w:b/>
          <w:color w:val="EB0017"/>
          <w:sz w:val="18"/>
        </w:rPr>
        <w:t>SCRIPT</w:t>
      </w:r>
    </w:p>
    <w:p>
      <w:pPr>
        <w:spacing w:after="280"/>
      </w:pPr>
      <w:r>
        <w:rPr>
          <w:rFonts w:ascii="Calibri" w:hAnsi="Calibri" w:cs="Calibri"/>
          <w:color w:val="262836"/>
          <w:sz w:val="22"/>
        </w:rPr>
        <w:t>Five things carriers actively reward. Updated COPE data — current construction, occupancy, protection, exposure on every location, submitted in advance. Recent third-party valuations within 24 months. Documented loss control — water mitigation, fire suppression upgrades, roof maintenance, with photos and dates. Stable governance — long-tenured property managers, boards that document decisions. And risk-transfer maturity — boards willing to take meaningful retentions because they understand the trade-off. None of this requires capital. All of it moves rate.</w:t>
      </w:r>
    </w:p>
    <w:p>
      <w:pPr>
        <w:spacing w:after="40"/>
      </w:pPr>
      <w:r>
        <w:rPr>
          <w:rFonts w:ascii="Calibri" w:hAnsi="Calibri" w:cs="Calibri"/>
          <w:b/>
          <w:color w:val="EB0017"/>
          <w:sz w:val="18"/>
        </w:rPr>
        <w:t>BEATS</w:t>
      </w:r>
    </w:p>
    <w:p>
      <w:pPr>
        <w:pStyle w:val="ListBullet"/>
      </w:pPr>
      <w:r>
        <w:rPr>
          <w:rFonts w:ascii="Calibri" w:hAnsi="Calibri" w:cs="Calibri"/>
          <w:color w:val="262836"/>
          <w:sz w:val="22"/>
        </w:rPr>
        <w:t>Five rewards, all under your control.</w:t>
      </w:r>
    </w:p>
    <w:p>
      <w:pPr>
        <w:pStyle w:val="ListBullet"/>
      </w:pPr>
      <w:r>
        <w:rPr>
          <w:rFonts w:ascii="Calibri" w:hAnsi="Calibri" w:cs="Calibri"/>
          <w:color w:val="262836"/>
          <w:sz w:val="22"/>
        </w:rPr>
        <w:t>COPE + valuation + loss control + governance + retention literacy.</w:t>
      </w:r>
    </w:p>
    <w:p>
      <w:pPr>
        <w:pStyle w:val="ListBullet"/>
      </w:pPr>
      <w:r>
        <w:rPr>
          <w:rFonts w:ascii="Calibri" w:hAnsi="Calibri" w:cs="Calibri"/>
          <w:color w:val="262836"/>
          <w:sz w:val="22"/>
        </w:rPr>
        <w:t>Doesn't cost capital. Moves rate.</w:t>
      </w:r>
    </w:p>
    <w:p>
      <w:r>
        <w:br w:type="page"/>
      </w:r>
    </w:p>
    <w:p>
      <w:pPr>
        <w:spacing w:after="40"/>
      </w:pPr>
      <w:r>
        <w:rPr>
          <w:rFonts w:ascii="Calibri" w:hAnsi="Calibri" w:cs="Calibri"/>
          <w:b/>
          <w:color w:val="EB0017"/>
          <w:sz w:val="22"/>
        </w:rPr>
        <w:t xml:space="preserve">23  ·  </w:t>
      </w:r>
      <w:r>
        <w:rPr>
          <w:rFonts w:ascii="Calibri" w:hAnsi="Calibri" w:cs="Calibri"/>
          <w:b/>
          <w:color w:val="5D6D78"/>
          <w:sz w:val="22"/>
        </w:rPr>
        <w:t>FRAMEWORK — PENALIZE</w:t>
      </w:r>
    </w:p>
    <w:p>
      <w:pPr>
        <w:spacing w:after="200"/>
      </w:pPr>
      <w:r>
        <w:rPr>
          <w:rFonts w:ascii="Calibri" w:hAnsi="Calibri" w:cs="Calibri"/>
          <w:b/>
          <w:color w:val="262836"/>
          <w:sz w:val="44"/>
        </w:rPr>
        <w:t>What underwriters penalize.</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“And the same list, inverted.”</w:t>
      </w:r>
    </w:p>
    <w:p>
      <w:pPr>
        <w:spacing w:after="40"/>
      </w:pPr>
      <w:r>
        <w:rPr>
          <w:rFonts w:ascii="Calibri" w:hAnsi="Calibri" w:cs="Calibri"/>
          <w:b/>
          <w:color w:val="EB0017"/>
          <w:sz w:val="18"/>
        </w:rPr>
        <w:t>SCRIPT</w:t>
      </w:r>
    </w:p>
    <w:p>
      <w:pPr>
        <w:spacing w:after="280"/>
      </w:pPr>
      <w:r>
        <w:rPr>
          <w:rFonts w:ascii="Calibri" w:hAnsi="Calibri" w:cs="Calibri"/>
          <w:color w:val="262836"/>
          <w:sz w:val="22"/>
        </w:rPr>
        <w:t>Stale or partial COPE — missing roof age, no plumbing data, no fire-system info. When a carrier doesn't have data, they assume the worst. Replacement cost gaps — values that haven't moved with construction inflation. Underinsurance is the number-one reason carriers decline a Florida condo today. High-frequency small claims, even at low severity. Litigation-prone history — past assessment fights, board lawsuits, contractor disputes — D&amp;O underwriters weight this heavily. And last-minute submissions. If full data lands three weeks before renewal, the carrier prices uncertainty. Every one of these is fixable, and most are free.</w:t>
      </w:r>
    </w:p>
    <w:p>
      <w:pPr>
        <w:spacing w:after="40"/>
      </w:pPr>
      <w:r>
        <w:rPr>
          <w:rFonts w:ascii="Calibri" w:hAnsi="Calibri" w:cs="Calibri"/>
          <w:b/>
          <w:color w:val="EB0017"/>
          <w:sz w:val="18"/>
        </w:rPr>
        <w:t>BEATS</w:t>
      </w:r>
    </w:p>
    <w:p>
      <w:pPr>
        <w:pStyle w:val="ListBullet"/>
      </w:pPr>
      <w:r>
        <w:rPr>
          <w:rFonts w:ascii="Calibri" w:hAnsi="Calibri" w:cs="Calibri"/>
          <w:color w:val="262836"/>
          <w:sz w:val="22"/>
        </w:rPr>
        <w:t>Five penalties, every one fixable.</w:t>
      </w:r>
    </w:p>
    <w:p>
      <w:pPr>
        <w:pStyle w:val="ListBullet"/>
      </w:pPr>
      <w:r>
        <w:rPr>
          <w:rFonts w:ascii="Calibri" w:hAnsi="Calibri" w:cs="Calibri"/>
          <w:color w:val="262836"/>
          <w:sz w:val="22"/>
        </w:rPr>
        <w:t>Missing data = worst-case pricing.</w:t>
      </w:r>
    </w:p>
    <w:p>
      <w:pPr>
        <w:pStyle w:val="ListBullet"/>
      </w:pPr>
      <w:r>
        <w:rPr>
          <w:rFonts w:ascii="Calibri" w:hAnsi="Calibri" w:cs="Calibri"/>
          <w:color w:val="262836"/>
          <w:sz w:val="22"/>
        </w:rPr>
        <w:t>Late submissions = uncertainty premium.</w:t>
      </w:r>
    </w:p>
    <w:p>
      <w:r>
        <w:br w:type="page"/>
      </w:r>
    </w:p>
    <w:p>
      <w:pPr>
        <w:spacing w:after="40"/>
      </w:pPr>
      <w:r>
        <w:rPr>
          <w:rFonts w:ascii="Calibri" w:hAnsi="Calibri" w:cs="Calibri"/>
          <w:b/>
          <w:color w:val="EB0017"/>
          <w:sz w:val="22"/>
        </w:rPr>
        <w:t xml:space="preserve">24  ·  </w:t>
      </w:r>
      <w:r>
        <w:rPr>
          <w:rFonts w:ascii="Calibri" w:hAnsi="Calibri" w:cs="Calibri"/>
          <w:b/>
          <w:color w:val="5D6D78"/>
          <w:sz w:val="22"/>
        </w:rPr>
        <w:t>FRAMEWORK — IGNORE</w:t>
      </w:r>
    </w:p>
    <w:p>
      <w:pPr>
        <w:spacing w:after="200"/>
      </w:pPr>
      <w:r>
        <w:rPr>
          <w:rFonts w:ascii="Calibri" w:hAnsi="Calibri" w:cs="Calibri"/>
          <w:b/>
          <w:color w:val="262836"/>
          <w:sz w:val="44"/>
        </w:rPr>
        <w:t>What underwriters ignore.</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“And — controversially — what doesn't move the needle at all.”</w:t>
      </w:r>
    </w:p>
    <w:p>
      <w:pPr>
        <w:spacing w:after="40"/>
      </w:pPr>
      <w:r>
        <w:rPr>
          <w:rFonts w:ascii="Calibri" w:hAnsi="Calibri" w:cs="Calibri"/>
          <w:b/>
          <w:color w:val="EB0017"/>
          <w:sz w:val="18"/>
        </w:rPr>
        <w:t>SCRIPT</w:t>
      </w:r>
    </w:p>
    <w:p>
      <w:pPr>
        <w:spacing w:after="280"/>
      </w:pPr>
      <w:r>
        <w:rPr>
          <w:rFonts w:ascii="Calibri" w:hAnsi="Calibri" w:cs="Calibri"/>
          <w:color w:val="262836"/>
          <w:sz w:val="22"/>
        </w:rPr>
        <w:t>Building age in isolation. 1985 versus 2005 matters less than you'd think — maintenance evidence beats year of construction. Cosmetic upgrades — new lobby, new amenities, fresh paint. Beautiful, not underwriting data. HOA awards. Long broker relationships — markets price the risk, not the producer. And marketing materials — drone footage, lifestyle photos, brochures. Underwriters want SOVs and loss runs. So if you're spending board time on these — redirect it to the reward list. That's the trade.</w:t>
      </w:r>
    </w:p>
    <w:p>
      <w:pPr>
        <w:spacing w:after="40"/>
      </w:pPr>
      <w:r>
        <w:rPr>
          <w:rFonts w:ascii="Calibri" w:hAnsi="Calibri" w:cs="Calibri"/>
          <w:b/>
          <w:color w:val="EB0017"/>
          <w:sz w:val="18"/>
        </w:rPr>
        <w:t>BEATS</w:t>
      </w:r>
    </w:p>
    <w:p>
      <w:pPr>
        <w:pStyle w:val="ListBullet"/>
      </w:pPr>
      <w:r>
        <w:rPr>
          <w:rFonts w:ascii="Calibri" w:hAnsi="Calibri" w:cs="Calibri"/>
          <w:color w:val="262836"/>
          <w:sz w:val="22"/>
        </w:rPr>
        <w:t>Age, cosmetics, awards, broker tenure, brochures — ignored.</w:t>
      </w:r>
    </w:p>
    <w:p>
      <w:pPr>
        <w:pStyle w:val="ListBullet"/>
      </w:pPr>
      <w:r>
        <w:rPr>
          <w:rFonts w:ascii="Calibri" w:hAnsi="Calibri" w:cs="Calibri"/>
          <w:color w:val="262836"/>
          <w:sz w:val="22"/>
        </w:rPr>
        <w:t>Spend that energy on the reward list instead.</w:t>
      </w:r>
    </w:p>
    <w:p>
      <w:pPr>
        <w:pStyle w:val="ListBullet"/>
      </w:pPr>
      <w:r>
        <w:rPr>
          <w:rFonts w:ascii="Calibri" w:hAnsi="Calibri" w:cs="Calibri"/>
          <w:color w:val="262836"/>
          <w:sz w:val="22"/>
        </w:rPr>
        <w:t>Be honest with boards about what doesn't matter.</w:t>
      </w:r>
    </w:p>
    <w:p>
      <w:r>
        <w:br w:type="page"/>
      </w:r>
    </w:p>
    <w:p>
      <w:pPr>
        <w:spacing w:after="40"/>
      </w:pPr>
      <w:r>
        <w:rPr>
          <w:rFonts w:ascii="Calibri" w:hAnsi="Calibri" w:cs="Calibri"/>
          <w:b/>
          <w:color w:val="EB0017"/>
          <w:sz w:val="22"/>
        </w:rPr>
        <w:t xml:space="preserve">25  ·  </w:t>
      </w:r>
      <w:r>
        <w:rPr>
          <w:rFonts w:ascii="Calibri" w:hAnsi="Calibri" w:cs="Calibri"/>
          <w:b/>
          <w:color w:val="5D6D78"/>
          <w:sz w:val="22"/>
        </w:rPr>
        <w:t>WHAT YOU CONTROL</w:t>
      </w:r>
    </w:p>
    <w:p>
      <w:pPr>
        <w:spacing w:after="200"/>
      </w:pPr>
      <w:r>
        <w:rPr>
          <w:rFonts w:ascii="Calibri" w:hAnsi="Calibri" w:cs="Calibri"/>
          <w:b/>
          <w:color w:val="262836"/>
          <w:sz w:val="44"/>
        </w:rPr>
        <w:t>Stop fighting the market. Run your half of it.</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“If you remember one slide, make it this one.”</w:t>
      </w:r>
    </w:p>
    <w:p>
      <w:pPr>
        <w:spacing w:after="40"/>
      </w:pPr>
      <w:r>
        <w:rPr>
          <w:rFonts w:ascii="Calibri" w:hAnsi="Calibri" w:cs="Calibri"/>
          <w:b/>
          <w:color w:val="EB0017"/>
          <w:sz w:val="18"/>
        </w:rPr>
        <w:t>SCRIPT</w:t>
      </w:r>
    </w:p>
    <w:p>
      <w:pPr>
        <w:spacing w:after="280"/>
      </w:pPr>
      <w:r>
        <w:rPr>
          <w:rFonts w:ascii="Calibri" w:hAnsi="Calibri" w:cs="Calibri"/>
          <w:color w:val="262836"/>
          <w:sz w:val="22"/>
        </w:rPr>
        <w:t>Two columns. The right column — hurricane severity, January 1st reinsurance pricing, carrier appetite shifts, statute changes, jury verdicts, macro inflation — none of it is yours to fix. Boards burn enormous energy here. The left column is yours. Submission quality and timing — 90 to 120 days out, complete data. Documented loss control. Board governance — minutes, decisions, reserve studies. Property valuations every 24 months. Vendor and contractor due diligence. Proactive data sharing with your broker. Every renewal, the boards that obsess over the right column lose ground. The boards that execute the left column get better outcomes. Every time.</w:t>
      </w:r>
    </w:p>
    <w:p>
      <w:pPr>
        <w:spacing w:after="40"/>
      </w:pPr>
      <w:r>
        <w:rPr>
          <w:rFonts w:ascii="Calibri" w:hAnsi="Calibri" w:cs="Calibri"/>
          <w:b/>
          <w:color w:val="EB0017"/>
          <w:sz w:val="18"/>
        </w:rPr>
        <w:t>BEATS</w:t>
      </w:r>
    </w:p>
    <w:p>
      <w:pPr>
        <w:pStyle w:val="ListBullet"/>
      </w:pPr>
      <w:r>
        <w:rPr>
          <w:rFonts w:ascii="Calibri" w:hAnsi="Calibri" w:cs="Calibri"/>
          <w:color w:val="262836"/>
          <w:sz w:val="22"/>
        </w:rPr>
        <w:t>Two columns. Only one is yours.</w:t>
      </w:r>
    </w:p>
    <w:p>
      <w:pPr>
        <w:pStyle w:val="ListBullet"/>
      </w:pPr>
      <w:r>
        <w:rPr>
          <w:rFonts w:ascii="Calibri" w:hAnsi="Calibri" w:cs="Calibri"/>
          <w:color w:val="262836"/>
          <w:sz w:val="22"/>
        </w:rPr>
        <w:t>The boards that win are the boards that focus left.</w:t>
      </w:r>
    </w:p>
    <w:p>
      <w:pPr>
        <w:pStyle w:val="ListBullet"/>
      </w:pPr>
      <w:r>
        <w:rPr>
          <w:rFonts w:ascii="Calibri" w:hAnsi="Calibri" w:cs="Calibri"/>
          <w:color w:val="262836"/>
          <w:sz w:val="22"/>
        </w:rPr>
        <w:t>Tape this slide to the conference-room wall.</w:t>
      </w:r>
    </w:p>
    <w:p>
      <w:r>
        <w:br w:type="page"/>
      </w:r>
    </w:p>
    <w:p>
      <w:pPr>
        <w:spacing w:after="40"/>
      </w:pPr>
      <w:r>
        <w:rPr>
          <w:rFonts w:ascii="Calibri" w:hAnsi="Calibri" w:cs="Calibri"/>
          <w:b/>
          <w:color w:val="EB0017"/>
          <w:sz w:val="22"/>
        </w:rPr>
        <w:t xml:space="preserve">26  ·  </w:t>
      </w:r>
      <w:r>
        <w:rPr>
          <w:rFonts w:ascii="Calibri" w:hAnsi="Calibri" w:cs="Calibri"/>
          <w:b/>
          <w:color w:val="5D6D78"/>
          <w:sz w:val="22"/>
        </w:rPr>
        <w:t>Q&amp;A</w:t>
      </w:r>
    </w:p>
    <w:p>
      <w:pPr>
        <w:spacing w:after="200"/>
      </w:pPr>
      <w:r>
        <w:rPr>
          <w:rFonts w:ascii="Calibri" w:hAnsi="Calibri" w:cs="Calibri"/>
          <w:b/>
          <w:color w:val="262836"/>
          <w:sz w:val="44"/>
        </w:rPr>
        <w:t>The floor is yours.</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“We saved the best part for last.”</w:t>
      </w:r>
    </w:p>
    <w:p>
      <w:pPr>
        <w:spacing w:after="40"/>
      </w:pPr>
      <w:r>
        <w:rPr>
          <w:rFonts w:ascii="Calibri" w:hAnsi="Calibri" w:cs="Calibri"/>
          <w:b/>
          <w:color w:val="EB0017"/>
          <w:sz w:val="18"/>
        </w:rPr>
        <w:t>SCRIPT</w:t>
      </w:r>
    </w:p>
    <w:p>
      <w:pPr>
        <w:spacing w:after="280"/>
      </w:pPr>
      <w:r>
        <w:rPr>
          <w:rFonts w:ascii="Calibri" w:hAnsi="Calibri" w:cs="Calibri"/>
          <w:color w:val="262836"/>
          <w:sz w:val="22"/>
        </w:rPr>
        <w:t>This is the part we travel for. Off-record, on-record, technical, strategic — we'd rather take the hard ones. If you're skeptical of a number on this deck, ask us about it. If something is nagging at the back of the room — that's the question we want. Four of us are here for a reason: between us, there isn't a Florida condo question that doesn't have an answer. Who's first?</w:t>
      </w:r>
    </w:p>
    <w:p>
      <w:pPr>
        <w:spacing w:after="40"/>
      </w:pPr>
      <w:r>
        <w:rPr>
          <w:rFonts w:ascii="Calibri" w:hAnsi="Calibri" w:cs="Calibri"/>
          <w:b/>
          <w:color w:val="EB0017"/>
          <w:sz w:val="18"/>
        </w:rPr>
        <w:t>BEATS</w:t>
      </w:r>
    </w:p>
    <w:p>
      <w:pPr>
        <w:pStyle w:val="ListBullet"/>
      </w:pPr>
      <w:r>
        <w:rPr>
          <w:rFonts w:ascii="Calibri" w:hAnsi="Calibri" w:cs="Calibri"/>
          <w:color w:val="262836"/>
          <w:sz w:val="22"/>
        </w:rPr>
        <w:t>Off-record questions welcome.</w:t>
      </w:r>
    </w:p>
    <w:p>
      <w:pPr>
        <w:pStyle w:val="ListBullet"/>
      </w:pPr>
      <w:r>
        <w:rPr>
          <w:rFonts w:ascii="Calibri" w:hAnsi="Calibri" w:cs="Calibri"/>
          <w:color w:val="262836"/>
          <w:sz w:val="22"/>
        </w:rPr>
        <w:t>The hard questions are the ones we want.</w:t>
      </w:r>
    </w:p>
    <w:p>
      <w:pPr>
        <w:pStyle w:val="ListBullet"/>
      </w:pPr>
      <w:r>
        <w:rPr>
          <w:rFonts w:ascii="Calibri" w:hAnsi="Calibri" w:cs="Calibri"/>
          <w:color w:val="262836"/>
          <w:sz w:val="22"/>
        </w:rPr>
        <w:t>Don't let people leave with unspoken doubts.</w:t>
      </w:r>
    </w:p>
    <w:p>
      <w:r>
        <w:br w:type="page"/>
      </w:r>
    </w:p>
    <w:p>
      <w:pPr>
        <w:spacing w:after="40"/>
      </w:pPr>
      <w:r>
        <w:rPr>
          <w:rFonts w:ascii="Calibri" w:hAnsi="Calibri" w:cs="Calibri"/>
          <w:b/>
          <w:color w:val="EB0017"/>
          <w:sz w:val="22"/>
        </w:rPr>
        <w:t xml:space="preserve">27  ·  </w:t>
      </w:r>
      <w:r>
        <w:rPr>
          <w:rFonts w:ascii="Calibri" w:hAnsi="Calibri" w:cs="Calibri"/>
          <w:b/>
          <w:color w:val="5D6D78"/>
          <w:sz w:val="22"/>
        </w:rPr>
        <w:t>CLOSE</w:t>
      </w:r>
    </w:p>
    <w:p>
      <w:pPr>
        <w:spacing w:after="200"/>
      </w:pPr>
      <w:r>
        <w:rPr>
          <w:rFonts w:ascii="Calibri" w:hAnsi="Calibri" w:cs="Calibri"/>
          <w:b/>
          <w:color w:val="262836"/>
          <w:sz w:val="44"/>
        </w:rPr>
        <w:t>The market will keep evolving. Stay ahead — don't react.</w:t>
      </w:r>
    </w:p>
    <w:p>
      <w:pPr>
        <w:pBdr>
          <w:bottom w:val="single" w:sz="6" w:space="1" w:color="EB0017"/>
        </w:pBdr>
      </w:pPr>
    </w:p>
    <w:p>
      <w:pPr>
        <w:spacing w:after="40"/>
      </w:pPr>
      <w:r>
        <w:rPr>
          <w:rFonts w:ascii="Calibri" w:hAnsi="Calibri" w:cs="Calibri"/>
          <w:b/>
          <w:color w:val="EB0017"/>
          <w:sz w:val="18"/>
        </w:rPr>
        <w:t>OPEN</w:t>
      </w:r>
    </w:p>
    <w:p>
      <w:pPr>
        <w:spacing w:after="280"/>
      </w:pPr>
      <w:r>
        <w:rPr>
          <w:rFonts w:ascii="Calibri" w:hAnsi="Calibri" w:cs="Calibri"/>
          <w:i/>
          <w:color w:val="262836"/>
          <w:sz w:val="24"/>
        </w:rPr>
        <w:t>“Three things, no commitment, then we let you go.”</w:t>
      </w:r>
    </w:p>
    <w:p>
      <w:pPr>
        <w:spacing w:after="40"/>
      </w:pPr>
      <w:r>
        <w:rPr>
          <w:rFonts w:ascii="Calibri" w:hAnsi="Calibri" w:cs="Calibri"/>
          <w:b/>
          <w:color w:val="EB0017"/>
          <w:sz w:val="18"/>
        </w:rPr>
        <w:t>SCRIPT</w:t>
      </w:r>
    </w:p>
    <w:p>
      <w:pPr>
        <w:spacing w:after="280"/>
      </w:pPr>
      <w:r>
        <w:rPr>
          <w:rFonts w:ascii="Calibri" w:hAnsi="Calibri" w:cs="Calibri"/>
          <w:color w:val="262836"/>
          <w:sz w:val="22"/>
        </w:rPr>
        <w:t>We're not asking you to switch brokers today. We're offering three things, no strings. One — quarterly market updates: a 30-minute briefing the week the next P&amp;C report drops, so you and your boards see what's coming. Two — board education sessions: we come to your board meeting and translate the renewal for them, anytime. Three — a renewal readiness review, 90 days before your inception. Submission strategy, not pitch. Pick any of the three, none of the three, or all three. The number is on the next page. Thank you for the time.</w:t>
      </w:r>
    </w:p>
    <w:p>
      <w:pPr>
        <w:spacing w:after="40"/>
      </w:pPr>
      <w:r>
        <w:rPr>
          <w:rFonts w:ascii="Calibri" w:hAnsi="Calibri" w:cs="Calibri"/>
          <w:b/>
          <w:color w:val="EB0017"/>
          <w:sz w:val="18"/>
        </w:rPr>
        <w:t>BEATS</w:t>
      </w:r>
    </w:p>
    <w:p>
      <w:pPr>
        <w:pStyle w:val="ListBullet"/>
      </w:pPr>
      <w:r>
        <w:rPr>
          <w:rFonts w:ascii="Calibri" w:hAnsi="Calibri" w:cs="Calibri"/>
          <w:color w:val="262836"/>
          <w:sz w:val="22"/>
        </w:rPr>
        <w:t>No ask today. Three optional next steps.</w:t>
      </w:r>
    </w:p>
    <w:p>
      <w:pPr>
        <w:pStyle w:val="ListBullet"/>
      </w:pPr>
      <w:r>
        <w:rPr>
          <w:rFonts w:ascii="Calibri" w:hAnsi="Calibri" w:cs="Calibri"/>
          <w:color w:val="262836"/>
          <w:sz w:val="22"/>
        </w:rPr>
        <w:t>Quarterly updates · board education · renewal readiness review.</w:t>
      </w:r>
    </w:p>
    <w:p>
      <w:pPr>
        <w:pStyle w:val="ListBullet"/>
      </w:pPr>
      <w:r>
        <w:rPr>
          <w:rFonts w:ascii="Calibri" w:hAnsi="Calibri" w:cs="Calibri"/>
          <w:color w:val="262836"/>
          <w:sz w:val="22"/>
        </w:rPr>
        <w:t>"Pick any, none, or all. We're here either way."</w:t>
      </w:r>
    </w:p>
    <w:p>
      <w:r>
        <w:br w:type="page"/>
      </w:r>
    </w:p>
    <w:p>
      <w:pPr>
        <w:spacing w:after="200"/>
      </w:pPr>
      <w:r>
        <w:rPr>
          <w:rFonts w:ascii="Calibri" w:hAnsi="Calibri" w:cs="Calibri"/>
          <w:b/>
          <w:color w:val="101E7F"/>
          <w:sz w:val="44"/>
        </w:rPr>
        <w:t>Presenter notes</w:t>
      </w:r>
    </w:p>
    <w:p>
      <w:pPr>
        <w:pBdr>
          <w:bottom w:val="single" w:sz="6" w:space="1" w:color="EB0017"/>
        </w:pBdr>
      </w:pPr>
    </w:p>
    <w:p>
      <w:pPr>
        <w:spacing w:before="200" w:after="40"/>
      </w:pPr>
      <w:r>
        <w:rPr>
          <w:rFonts w:ascii="Calibri" w:hAnsi="Calibri" w:cs="Calibri"/>
          <w:b/>
          <w:color w:val="EB0017"/>
          <w:sz w:val="20"/>
        </w:rPr>
        <w:t>PACE</w:t>
      </w:r>
    </w:p>
    <w:p>
      <w:pPr>
        <w:spacing w:after="120"/>
      </w:pPr>
      <w:r>
        <w:rPr>
          <w:rFonts w:ascii="Calibri" w:hAnsi="Calibri" w:cs="Calibri"/>
          <w:color w:val="262836"/>
          <w:sz w:val="22"/>
        </w:rPr>
        <w:t>27 slides, ~40 minutes content, 15 minutes Q&amp;A. ~75 seconds per slide is the rhythm. The framework slides (22–25) and the portfolio map (21) deserve more time. The carrier wall (7) and renewal timeline (15) can move quickly.</w:t>
      </w:r>
    </w:p>
    <w:p>
      <w:pPr>
        <w:spacing w:before="200" w:after="40"/>
      </w:pPr>
      <w:r>
        <w:rPr>
          <w:rFonts w:ascii="Calibri" w:hAnsi="Calibri" w:cs="Calibri"/>
          <w:b/>
          <w:color w:val="EB0017"/>
          <w:sz w:val="20"/>
        </w:rPr>
        <w:t>HAND-OFFS</w:t>
      </w:r>
    </w:p>
    <w:p>
      <w:pPr>
        <w:spacing w:after="120"/>
      </w:pPr>
      <w:r>
        <w:rPr>
          <w:rFonts w:ascii="Calibri" w:hAnsi="Calibri" w:cs="Calibri"/>
          <w:color w:val="262836"/>
          <w:sz w:val="22"/>
        </w:rPr>
        <w:t>Kali on Florida wind capacity (slides 17–19). Norbert on casualty / D&amp;O (slide 16). Sam on day-to-day execution (slide 10). Karim takes the rest — and the close.</w:t>
      </w:r>
    </w:p>
    <w:p>
      <w:pPr>
        <w:spacing w:before="200" w:after="40"/>
      </w:pPr>
      <w:r>
        <w:rPr>
          <w:rFonts w:ascii="Calibri" w:hAnsi="Calibri" w:cs="Calibri"/>
          <w:b/>
          <w:color w:val="EB0017"/>
          <w:sz w:val="20"/>
        </w:rPr>
        <w:t>THE TWO SLIDES THAT SELL THE ROOM</w:t>
      </w:r>
    </w:p>
    <w:p>
      <w:pPr>
        <w:spacing w:after="120"/>
      </w:pPr>
      <w:r>
        <w:rPr>
          <w:rFonts w:ascii="Calibri" w:hAnsi="Calibri" w:cs="Calibri"/>
          <w:color w:val="262836"/>
          <w:sz w:val="22"/>
        </w:rPr>
        <w:t>Manuscript Form (13) and What You Control (25). Slow down on both.</w:t>
      </w:r>
    </w:p>
    <w:p>
      <w:pPr>
        <w:spacing w:before="200" w:after="40"/>
      </w:pPr>
      <w:r>
        <w:rPr>
          <w:rFonts w:ascii="Calibri" w:hAnsi="Calibri" w:cs="Calibri"/>
          <w:b/>
          <w:color w:val="EB0017"/>
          <w:sz w:val="20"/>
        </w:rPr>
        <w:t>IF RUNNING LONG</w:t>
      </w:r>
    </w:p>
    <w:p>
      <w:pPr>
        <w:spacing w:after="120"/>
      </w:pPr>
      <w:r>
        <w:rPr>
          <w:rFonts w:ascii="Calibri" w:hAnsi="Calibri" w:cs="Calibri"/>
          <w:color w:val="262836"/>
          <w:sz w:val="22"/>
        </w:rPr>
        <w:t>Collapse 6 and 7 into one beat. Skip 11 (AGRC) — it lives in the appendix. Never skip the framework.</w:t>
      </w:r>
    </w:p>
    <w:p>
      <w:pPr>
        <w:spacing w:before="200" w:after="40"/>
      </w:pPr>
      <w:r>
        <w:rPr>
          <w:rFonts w:ascii="Calibri" w:hAnsi="Calibri" w:cs="Calibri"/>
          <w:b/>
          <w:color w:val="EB0017"/>
          <w:sz w:val="20"/>
        </w:rPr>
        <w:t>IF ASKED “WHAT DOES THIS COST”</w:t>
      </w:r>
    </w:p>
    <w:p>
      <w:pPr>
        <w:spacing w:after="120"/>
      </w:pPr>
      <w:r>
        <w:rPr>
          <w:rFonts w:ascii="Calibri" w:hAnsi="Calibri" w:cs="Calibri"/>
          <w:color w:val="262836"/>
          <w:sz w:val="22"/>
        </w:rPr>
        <w:t>“Today, nothing. The renewal readiness review is on us. If we earn the placement after that, the carrier pays the commission — same as the broker you have now. The difference is what's wrapped around the placement.”</w:t>
      </w:r>
    </w:p>
    <w:p>
      <w:pPr>
        <w:spacing w:before="480"/>
      </w:pPr>
    </w:p>
    <w:p>
      <w:pPr>
        <w:jc w:val="center"/>
      </w:pPr>
      <w:r>
        <w:rPr>
          <w:rFonts w:ascii="Calibri" w:hAnsi="Calibri" w:cs="Calibri"/>
          <w:i/>
          <w:color w:val="5D6D78"/>
          <w:sz w:val="20"/>
        </w:rPr>
        <w:t>— end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8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