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10BBA">
      <w:pPr>
        <w:rPr>
          <w:rFonts w:hint="eastAsia"/>
        </w:rPr>
      </w:pPr>
      <w:r>
        <w:rPr>
          <w:rFonts w:hint="eastAsia"/>
        </w:rPr>
        <w:t>Main Expense Analysis</w:t>
      </w:r>
    </w:p>
    <w:p w14:paraId="6C93B3F9">
      <w:pPr>
        <w:rPr>
          <w:rFonts w:hint="eastAsia"/>
        </w:rPr>
      </w:pPr>
    </w:p>
    <w:p w14:paraId="2CA050C4">
      <w:pPr>
        <w:rPr>
          <w:rFonts w:hint="eastAsia"/>
        </w:rPr>
      </w:pPr>
      <w:r>
        <w:rPr>
          <w:rFonts w:hint="eastAsia"/>
        </w:rPr>
        <w:t xml:space="preserve">During the period from 2020 to 2021, the average sales expense ratio was 45%. This was primarily due to an increase in promotion and advertising costs related to attracting new users and enhancing brand recognition. </w:t>
      </w:r>
      <w:r>
        <w:rPr>
          <w:rFonts w:hint="eastAsia"/>
          <w:lang w:val="en-US" w:eastAsia="zh-CN"/>
        </w:rPr>
        <w:t>In the other hand, t</w:t>
      </w:r>
      <w:r>
        <w:rPr>
          <w:rFonts w:hint="eastAsia"/>
        </w:rPr>
        <w:t>he average administrative expense ratio was 41.8%, mainly due to an increase in equity incentive expenses and the costs incurred from the company's dual listing on the Hong Kong Stock Exchange.</w:t>
      </w:r>
    </w:p>
    <w:p w14:paraId="1939F5AB">
      <w:pPr>
        <w:rPr>
          <w:rFonts w:hint="eastAsia"/>
        </w:rPr>
      </w:pPr>
    </w:p>
    <w:p w14:paraId="1C4CEF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Future Main Expense Ratio Forecast</w:t>
      </w:r>
    </w:p>
    <w:p w14:paraId="63E297C9">
      <w:pPr>
        <w:rPr>
          <w:rFonts w:hint="default"/>
          <w:lang w:val="en-US" w:eastAsia="zh-CN"/>
        </w:rPr>
      </w:pPr>
    </w:p>
    <w:p w14:paraId="5C948C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It is expected that the administrative expense ratio </w:t>
      </w:r>
      <w:r>
        <w:rPr>
          <w:rFonts w:hint="eastAsia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>the sales expense ratio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will decrease annually from 2022 to 2026 to 10%</w:t>
      </w:r>
      <w:r>
        <w:rPr>
          <w:rFonts w:hint="eastAsia"/>
          <w:lang w:val="en-US" w:eastAsia="zh-CN"/>
        </w:rPr>
        <w:t xml:space="preserve"> and 25% respectively</w:t>
      </w:r>
      <w:r>
        <w:rPr>
          <w:rFonts w:hint="default"/>
          <w:lang w:val="en-US" w:eastAsia="zh-CN"/>
        </w:rPr>
        <w:t>, and remain stable thereafter</w:t>
      </w:r>
      <w:r>
        <w:rPr>
          <w:rFonts w:hint="eastAsia"/>
          <w:lang w:val="en-US" w:eastAsia="zh-CN"/>
        </w:rPr>
        <w:t>.</w:t>
      </w:r>
    </w:p>
    <w:p w14:paraId="246C39A5">
      <w:pPr>
        <w:rPr>
          <w:rFonts w:hint="eastAsia"/>
        </w:rPr>
      </w:pPr>
      <w:bookmarkStart w:id="0" w:name="_GoBack"/>
      <w:bookmarkEnd w:id="0"/>
    </w:p>
    <w:p w14:paraId="3D6402FA">
      <w:pPr>
        <w:rPr>
          <w:rFonts w:hint="eastAsia"/>
        </w:rPr>
      </w:pPr>
    </w:p>
    <w:p w14:paraId="62350DA9"/>
    <w:p w14:paraId="6D5A21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未来主要费用率预测：</w:t>
      </w:r>
    </w:p>
    <w:p w14:paraId="69CD25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管理费用：预期2022年至2026年管理费用率将逐年减少至10%，并在此后保持稳定；</w:t>
      </w:r>
    </w:p>
    <w:p w14:paraId="55716C55">
      <w:pPr>
        <w:rPr>
          <w:rFonts w:hint="default"/>
          <w:lang w:val="en-US" w:eastAsia="zh-CN"/>
        </w:rPr>
      </w:pPr>
    </w:p>
    <w:p w14:paraId="68A0E7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销售费用：预期2022年至2026年销售费用率将逐年减少至25%，并在此后保持稳定；</w:t>
      </w:r>
    </w:p>
    <w:p w14:paraId="13E7EDAB">
      <w:pPr>
        <w:rPr>
          <w:rFonts w:hint="default"/>
          <w:lang w:val="en-US" w:eastAsia="zh-CN"/>
        </w:rPr>
      </w:pPr>
    </w:p>
    <w:p w14:paraId="4232DA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Future Main Expense Ratio Forecast</w:t>
      </w:r>
    </w:p>
    <w:p w14:paraId="7F443B14">
      <w:pPr>
        <w:rPr>
          <w:rFonts w:hint="default"/>
          <w:lang w:val="en-US" w:eastAsia="zh-CN"/>
        </w:rPr>
      </w:pPr>
    </w:p>
    <w:p w14:paraId="608082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It is expected that the administrative expense ratio </w:t>
      </w:r>
      <w:r>
        <w:rPr>
          <w:rFonts w:hint="eastAsia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>the sales expense ratio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will decrease annually from 2022 to 2026 to 10%</w:t>
      </w:r>
      <w:r>
        <w:rPr>
          <w:rFonts w:hint="eastAsia"/>
          <w:lang w:val="en-US" w:eastAsia="zh-CN"/>
        </w:rPr>
        <w:t xml:space="preserve"> and 25% respectively</w:t>
      </w:r>
      <w:r>
        <w:rPr>
          <w:rFonts w:hint="default"/>
          <w:lang w:val="en-US" w:eastAsia="zh-CN"/>
        </w:rPr>
        <w:t>, and remain stable thereafter</w:t>
      </w:r>
      <w:r>
        <w:rPr>
          <w:rFonts w:hint="eastAsia"/>
          <w:lang w:val="en-US" w:eastAsia="zh-CN"/>
        </w:rPr>
        <w:t>.</w:t>
      </w:r>
    </w:p>
    <w:p w14:paraId="02E874C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649C2"/>
    <w:rsid w:val="3AE3337B"/>
    <w:rsid w:val="4A981A8C"/>
    <w:rsid w:val="67B101D9"/>
    <w:rsid w:val="6DFB3F5C"/>
    <w:rsid w:val="760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2025-01-08T12:06:00Z</dcterms:created>
  <dc:creator>z</dc:creator>
  <cp:lastModifiedBy>咕咕咕</cp:lastModifiedBy>
  <dcterms:modified xsi:type="dcterms:W3CDTF">2025-01-08T12:36:48Z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eyJoZGlkIjoiZDBkMDAyMWJjM2Q1ZWFhZWE0YzFhMTI4MmMzZTU4NTQiLCJ1c2VySWQiOiIxMTczNjM2NjQ2In0=</vt:lpwstr>
  </property>
  <property fmtid="{D5CDD505-2E9C-101B-9397-08002B2CF9AE}" pid="4" name="ICV">
    <vt:lpwstr>41ECC881C7DA4D3B8754CBC6CEC51149_12</vt:lpwstr>
  </property>
</Properties>
</file>