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F8EE6">
      <w:pPr>
        <w:spacing w:after="0" w:line="480" w:lineRule="auto"/>
        <w:rPr>
          <w:rFonts w:ascii="Times New Roman" w:hAnsi="Times New Roman" w:cs="Times New Roman"/>
          <w:b/>
          <w:bCs/>
          <w:sz w:val="24"/>
        </w:rPr>
      </w:pPr>
      <w:bookmarkStart w:id="0" w:name="_GoBack"/>
      <w:bookmarkEnd w:id="0"/>
      <w:r>
        <w:rPr>
          <w:rFonts w:ascii="Times New Roman" w:hAnsi="Times New Roman" w:cs="Times New Roman"/>
          <w:b/>
          <w:bCs/>
          <w:sz w:val="24"/>
        </w:rPr>
        <w:t>Recommendation for the Project</w:t>
      </w:r>
    </w:p>
    <w:p w14:paraId="387FD01F">
      <w:pPr>
        <w:spacing w:after="0" w:line="480" w:lineRule="auto"/>
        <w:ind w:firstLine="720"/>
        <w:rPr>
          <w:rFonts w:ascii="Times New Roman" w:hAnsi="Times New Roman" w:cs="Times New Roman"/>
          <w:sz w:val="24"/>
        </w:rPr>
      </w:pPr>
      <w:r>
        <w:rPr>
          <w:rFonts w:ascii="Times New Roman" w:hAnsi="Times New Roman" w:cs="Times New Roman"/>
          <w:sz w:val="24"/>
        </w:rPr>
        <w:t>If I were hired as the CFO of Bebida Sol, I would not recommend pursuing this project. After analyzing the project’s free cash flows, the NPV, IRR, Discounted Payback Period, and Profitability Index all suggest that this project would result in a loss for the firm.</w:t>
      </w:r>
    </w:p>
    <w:p w14:paraId="07B0314F">
      <w:pPr>
        <w:spacing w:after="0" w:line="480" w:lineRule="auto"/>
        <w:rPr>
          <w:rFonts w:ascii="Times New Roman" w:hAnsi="Times New Roman" w:cs="Times New Roman"/>
          <w:b/>
          <w:bCs/>
          <w:sz w:val="24"/>
        </w:rPr>
      </w:pPr>
      <w:r>
        <w:rPr>
          <w:rFonts w:hint="eastAsia" w:ascii="Times New Roman" w:hAnsi="Times New Roman" w:cs="Times New Roman"/>
          <w:b/>
          <w:bCs/>
          <w:sz w:val="24"/>
        </w:rPr>
        <w:t>1.</w:t>
      </w:r>
      <w:r>
        <w:rPr>
          <w:rFonts w:ascii="Times New Roman" w:hAnsi="Times New Roman" w:cs="Times New Roman"/>
          <w:b/>
          <w:bCs/>
          <w:sz w:val="24"/>
        </w:rPr>
        <w:t>Relevant Cash Flows for the Project</w:t>
      </w:r>
    </w:p>
    <w:p w14:paraId="0D605681">
      <w:pPr>
        <w:spacing w:after="0" w:line="480" w:lineRule="auto"/>
        <w:ind w:firstLine="720"/>
        <w:rPr>
          <w:rFonts w:ascii="Times New Roman" w:hAnsi="Times New Roman" w:cs="Times New Roman"/>
          <w:b/>
          <w:bCs/>
          <w:sz w:val="24"/>
        </w:rPr>
      </w:pPr>
      <w:r>
        <w:rPr>
          <w:rFonts w:ascii="Times New Roman" w:hAnsi="Times New Roman" w:cs="Times New Roman"/>
          <w:b/>
          <w:bCs/>
          <w:sz w:val="24"/>
        </w:rPr>
        <w:t>a. Consultant’s Market Study Cost</w:t>
      </w:r>
    </w:p>
    <w:p w14:paraId="43E34C2F">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cost of the market study is 5 million pesos. Since this cost has already been incurred and recorded in the income statement, it is a </w:t>
      </w:r>
      <w:r>
        <w:rPr>
          <w:rFonts w:ascii="Times New Roman" w:hAnsi="Times New Roman" w:cs="Times New Roman"/>
          <w:b/>
          <w:bCs/>
          <w:sz w:val="24"/>
        </w:rPr>
        <w:t>sunk cost</w:t>
      </w:r>
      <w:r>
        <w:rPr>
          <w:rFonts w:ascii="Times New Roman" w:hAnsi="Times New Roman" w:cs="Times New Roman"/>
          <w:sz w:val="24"/>
        </w:rPr>
        <w:t xml:space="preserve"> and is not relevant for the capital budgeting analysis. Sunk costs should not influence the decision of whether to proceed with the project.</w:t>
      </w:r>
    </w:p>
    <w:p w14:paraId="01EE7F32">
      <w:pPr>
        <w:spacing w:after="0" w:line="480" w:lineRule="auto"/>
        <w:ind w:firstLine="720"/>
        <w:rPr>
          <w:rFonts w:ascii="Times New Roman" w:hAnsi="Times New Roman" w:cs="Times New Roman"/>
          <w:b/>
          <w:bCs/>
          <w:sz w:val="24"/>
        </w:rPr>
      </w:pPr>
      <w:r>
        <w:rPr>
          <w:rFonts w:ascii="Times New Roman" w:hAnsi="Times New Roman" w:cs="Times New Roman"/>
          <w:b/>
          <w:bCs/>
          <w:sz w:val="24"/>
        </w:rPr>
        <w:t>b. Potential Rental Value of the Unoccupied Annex</w:t>
      </w:r>
    </w:p>
    <w:p w14:paraId="359245A8">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annex, if not used for the project, could be rented out for 60,000 pesos annually. This represents an </w:t>
      </w:r>
      <w:r>
        <w:rPr>
          <w:rFonts w:ascii="Times New Roman" w:hAnsi="Times New Roman" w:cs="Times New Roman"/>
          <w:b/>
          <w:bCs/>
          <w:sz w:val="24"/>
        </w:rPr>
        <w:t>opportunity cost</w:t>
      </w:r>
      <w:r>
        <w:rPr>
          <w:rFonts w:ascii="Times New Roman" w:hAnsi="Times New Roman" w:cs="Times New Roman"/>
          <w:sz w:val="24"/>
        </w:rPr>
        <w:t>. For the project analysis, this foregone rental income should be treated as a negative cash flow.</w:t>
      </w:r>
    </w:p>
    <w:p w14:paraId="4787031E">
      <w:pPr>
        <w:spacing w:after="0" w:line="480" w:lineRule="auto"/>
        <w:ind w:firstLine="720"/>
        <w:rPr>
          <w:rFonts w:ascii="Times New Roman" w:hAnsi="Times New Roman" w:cs="Times New Roman"/>
          <w:b/>
          <w:bCs/>
          <w:sz w:val="24"/>
        </w:rPr>
      </w:pPr>
      <w:r>
        <w:rPr>
          <w:rFonts w:ascii="Times New Roman" w:hAnsi="Times New Roman" w:cs="Times New Roman"/>
          <w:b/>
          <w:bCs/>
          <w:sz w:val="24"/>
        </w:rPr>
        <w:t>c. Interest Charges</w:t>
      </w:r>
    </w:p>
    <w:p w14:paraId="218F7283">
      <w:pPr>
        <w:spacing w:after="0" w:line="480" w:lineRule="auto"/>
        <w:ind w:firstLine="720"/>
        <w:rPr>
          <w:rFonts w:ascii="Times New Roman" w:hAnsi="Times New Roman" w:cs="Times New Roman"/>
          <w:sz w:val="24"/>
        </w:rPr>
      </w:pPr>
      <w:r>
        <w:rPr>
          <w:rFonts w:ascii="Times New Roman" w:hAnsi="Times New Roman" w:cs="Times New Roman"/>
          <w:sz w:val="24"/>
        </w:rPr>
        <w:t>Interest expenses are related to financing decisions, not investment decisions. In capital budgeting, interest is not included in the free cash flow calculation as it is accounted for in the discount rate (WACC). Including it again would result in double-counting.</w:t>
      </w:r>
    </w:p>
    <w:p w14:paraId="1728D28D">
      <w:pPr>
        <w:spacing w:after="0" w:line="480" w:lineRule="auto"/>
        <w:ind w:firstLine="720"/>
        <w:rPr>
          <w:rFonts w:ascii="Times New Roman" w:hAnsi="Times New Roman" w:cs="Times New Roman"/>
          <w:b/>
          <w:bCs/>
          <w:sz w:val="24"/>
        </w:rPr>
      </w:pPr>
      <w:r>
        <w:rPr>
          <w:rFonts w:ascii="Times New Roman" w:hAnsi="Times New Roman" w:cs="Times New Roman"/>
          <w:b/>
          <w:bCs/>
          <w:sz w:val="24"/>
        </w:rPr>
        <w:t>d. Erosion of Existing Soda Sales</w:t>
      </w:r>
    </w:p>
    <w:p w14:paraId="14221F3A">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introduction of Hola-Kola may reduce the sales of Bebida Sol’s existing soda products, causing a potential annual decrease in after-tax cash flows by 800,000 pesos. This reduction represents a </w:t>
      </w:r>
      <w:r>
        <w:rPr>
          <w:rFonts w:ascii="Times New Roman" w:hAnsi="Times New Roman" w:cs="Times New Roman"/>
          <w:b/>
          <w:bCs/>
          <w:sz w:val="24"/>
        </w:rPr>
        <w:t>negative cash flow</w:t>
      </w:r>
      <w:r>
        <w:rPr>
          <w:rFonts w:ascii="Times New Roman" w:hAnsi="Times New Roman" w:cs="Times New Roman"/>
          <w:sz w:val="24"/>
        </w:rPr>
        <w:t xml:space="preserve"> and should be included in the analysis as it reflects an actual loss in the firm’s cash flow.</w:t>
      </w:r>
    </w:p>
    <w:p w14:paraId="3E6FBF19">
      <w:pPr>
        <w:spacing w:after="0" w:line="480" w:lineRule="auto"/>
        <w:ind w:firstLine="720"/>
        <w:rPr>
          <w:rFonts w:ascii="Times New Roman" w:hAnsi="Times New Roman" w:cs="Times New Roman"/>
          <w:b/>
          <w:bCs/>
          <w:sz w:val="24"/>
        </w:rPr>
      </w:pPr>
      <w:r>
        <w:rPr>
          <w:rFonts w:hint="eastAsia" w:ascii="Times New Roman" w:hAnsi="Times New Roman" w:cs="Times New Roman"/>
          <w:b/>
          <w:bCs/>
          <w:sz w:val="24"/>
        </w:rPr>
        <w:t>e. Other Relevant Cash Flows</w:t>
      </w:r>
    </w:p>
    <w:p w14:paraId="4350B3CB">
      <w:pPr>
        <w:spacing w:after="0" w:line="480" w:lineRule="auto"/>
        <w:ind w:firstLine="720"/>
        <w:rPr>
          <w:rFonts w:ascii="Times New Roman" w:hAnsi="Times New Roman" w:cs="Times New Roman"/>
          <w:sz w:val="24"/>
        </w:rPr>
      </w:pPr>
      <w:r>
        <w:rPr>
          <w:rFonts w:ascii="Times New Roman" w:hAnsi="Times New Roman" w:cs="Times New Roman"/>
          <w:sz w:val="24"/>
        </w:rPr>
        <w:t>The working capital for the project consists of three key components: inventory, accounts receivable, and accounts payable. The calculations for each are as follows:</w:t>
      </w:r>
    </w:p>
    <w:p w14:paraId="0A0E4B3D">
      <w:pPr>
        <w:spacing w:after="0" w:line="480" w:lineRule="auto"/>
        <w:ind w:firstLine="720"/>
        <w:rPr>
          <w:rFonts w:ascii="Times New Roman" w:hAnsi="Times New Roman" w:cs="Times New Roman"/>
          <w:sz w:val="24"/>
        </w:rPr>
      </w:pPr>
      <w:r>
        <w:rPr>
          <w:rFonts w:ascii="Times New Roman" w:hAnsi="Times New Roman" w:cs="Times New Roman"/>
          <w:b/>
          <w:bCs/>
          <w:sz w:val="24"/>
        </w:rPr>
        <w:t>Inventory</w:t>
      </w:r>
      <w:r>
        <w:rPr>
          <w:rFonts w:ascii="Times New Roman" w:hAnsi="Times New Roman" w:cs="Times New Roman"/>
          <w:sz w:val="24"/>
        </w:rPr>
        <w:t>: 600,000 liters at 1.8 pesos per liter, totaling 1,080,000 pesos.</w:t>
      </w:r>
    </w:p>
    <w:p w14:paraId="61692A7D">
      <w:pPr>
        <w:spacing w:after="0" w:line="480" w:lineRule="auto"/>
        <w:ind w:firstLine="720"/>
        <w:rPr>
          <w:rFonts w:ascii="Times New Roman" w:hAnsi="Times New Roman" w:cs="Times New Roman"/>
          <w:sz w:val="24"/>
        </w:rPr>
      </w:pPr>
      <w:r>
        <w:rPr>
          <w:rFonts w:ascii="Times New Roman" w:hAnsi="Times New Roman" w:cs="Times New Roman"/>
          <w:b/>
          <w:bCs/>
          <w:sz w:val="24"/>
        </w:rPr>
        <w:t>Accounts Receivable</w:t>
      </w:r>
      <w:r>
        <w:rPr>
          <w:rFonts w:ascii="Times New Roman" w:hAnsi="Times New Roman" w:cs="Times New Roman"/>
          <w:sz w:val="24"/>
        </w:rPr>
        <w:t>: Based on the annual sales and the average collection period, this amounts to 4,438,356 pesos.</w:t>
      </w:r>
    </w:p>
    <w:p w14:paraId="1A8FFA9E">
      <w:pPr>
        <w:spacing w:after="0" w:line="480" w:lineRule="auto"/>
        <w:ind w:firstLine="720"/>
        <w:rPr>
          <w:rFonts w:ascii="Times New Roman" w:hAnsi="Times New Roman" w:cs="Times New Roman"/>
          <w:sz w:val="24"/>
        </w:rPr>
      </w:pPr>
      <w:r>
        <w:rPr>
          <w:rFonts w:ascii="Times New Roman" w:hAnsi="Times New Roman" w:cs="Times New Roman"/>
          <w:b/>
          <w:bCs/>
          <w:sz w:val="24"/>
        </w:rPr>
        <w:t>Accounts Payable</w:t>
      </w:r>
      <w:r>
        <w:rPr>
          <w:rFonts w:ascii="Times New Roman" w:hAnsi="Times New Roman" w:cs="Times New Roman"/>
          <w:sz w:val="24"/>
        </w:rPr>
        <w:t>: Determined by the raw materials costs and the average payment period, which totals 1,278,247 pesos.</w:t>
      </w:r>
    </w:p>
    <w:p w14:paraId="208E46E2">
      <w:pPr>
        <w:spacing w:after="0" w:line="480" w:lineRule="auto"/>
        <w:ind w:firstLine="720"/>
        <w:rPr>
          <w:rFonts w:ascii="Times New Roman" w:hAnsi="Times New Roman" w:cs="Times New Roman"/>
          <w:sz w:val="24"/>
        </w:rPr>
      </w:pPr>
      <w:r>
        <w:rPr>
          <w:rFonts w:ascii="Times New Roman" w:hAnsi="Times New Roman" w:cs="Times New Roman"/>
          <w:sz w:val="24"/>
        </w:rPr>
        <w:t>When these values are combined, the total working capital requirement is:</w:t>
      </w:r>
      <w:r>
        <w:rPr>
          <w:rFonts w:ascii="Times New Roman" w:hAnsi="Times New Roman" w:cs="Times New Roman"/>
          <w:sz w:val="24"/>
        </w:rPr>
        <w:br w:type="textWrapping"/>
      </w:r>
      <w:r>
        <w:rPr>
          <w:rFonts w:ascii="Times New Roman" w:hAnsi="Times New Roman" w:cs="Times New Roman"/>
          <w:b/>
          <w:bCs/>
          <w:sz w:val="24"/>
        </w:rPr>
        <w:t>1,080,000 + 4,438,356 - 1,278,247 = 4,240,110 pesos</w:t>
      </w:r>
      <w:r>
        <w:rPr>
          <w:rFonts w:ascii="Times New Roman" w:hAnsi="Times New Roman" w:cs="Times New Roman"/>
          <w:sz w:val="24"/>
        </w:rPr>
        <w:t>.</w:t>
      </w:r>
    </w:p>
    <w:p w14:paraId="4E72D625">
      <w:pPr>
        <w:spacing w:after="0" w:line="480" w:lineRule="auto"/>
        <w:ind w:firstLine="720"/>
        <w:rPr>
          <w:rFonts w:ascii="Times New Roman" w:hAnsi="Times New Roman" w:cs="Times New Roman"/>
          <w:sz w:val="24"/>
        </w:rPr>
      </w:pPr>
      <w:r>
        <w:rPr>
          <w:rFonts w:ascii="Times New Roman" w:hAnsi="Times New Roman" w:cs="Times New Roman"/>
          <w:sz w:val="24"/>
        </w:rPr>
        <w:t>This means that an initial outflow of 4,240,110 pesos will be needed to cover working capital at the start of the project.</w:t>
      </w:r>
    </w:p>
    <w:p w14:paraId="4248B98A">
      <w:pPr>
        <w:spacing w:after="0" w:line="480" w:lineRule="auto"/>
        <w:ind w:firstLine="720"/>
        <w:rPr>
          <w:rFonts w:ascii="Times New Roman" w:hAnsi="Times New Roman" w:cs="Times New Roman"/>
          <w:sz w:val="24"/>
        </w:rPr>
      </w:pPr>
      <w:r>
        <w:rPr>
          <w:rFonts w:ascii="Times New Roman" w:hAnsi="Times New Roman" w:cs="Times New Roman"/>
          <w:sz w:val="24"/>
        </w:rPr>
        <w:t>In addition to working capital, the project involves other key cash flows:</w:t>
      </w:r>
    </w:p>
    <w:p w14:paraId="7B02ABBC">
      <w:pPr>
        <w:spacing w:after="0" w:line="480" w:lineRule="auto"/>
        <w:ind w:firstLine="720"/>
        <w:rPr>
          <w:rFonts w:ascii="Times New Roman" w:hAnsi="Times New Roman" w:cs="Times New Roman"/>
          <w:sz w:val="24"/>
        </w:rPr>
      </w:pPr>
      <w:r>
        <w:rPr>
          <w:rFonts w:ascii="Times New Roman" w:hAnsi="Times New Roman" w:cs="Times New Roman"/>
          <w:b/>
          <w:bCs/>
          <w:sz w:val="24"/>
        </w:rPr>
        <w:t>Operational Costs</w:t>
      </w:r>
      <w:r>
        <w:rPr>
          <w:rFonts w:ascii="Times New Roman" w:hAnsi="Times New Roman" w:cs="Times New Roman"/>
          <w:sz w:val="24"/>
        </w:rPr>
        <w:t>: These include expenses for raw materials, direct labor, and energy.</w:t>
      </w:r>
    </w:p>
    <w:p w14:paraId="30834BE0">
      <w:pPr>
        <w:spacing w:after="0" w:line="480" w:lineRule="auto"/>
        <w:ind w:firstLine="720"/>
        <w:rPr>
          <w:rFonts w:ascii="Times New Roman" w:hAnsi="Times New Roman" w:cs="Times New Roman"/>
          <w:sz w:val="24"/>
        </w:rPr>
      </w:pPr>
      <w:r>
        <w:rPr>
          <w:rFonts w:ascii="Times New Roman" w:hAnsi="Times New Roman" w:cs="Times New Roman"/>
          <w:b/>
          <w:bCs/>
          <w:sz w:val="24"/>
        </w:rPr>
        <w:t>Overhead Costs</w:t>
      </w:r>
      <w:r>
        <w:rPr>
          <w:rFonts w:ascii="Times New Roman" w:hAnsi="Times New Roman" w:cs="Times New Roman"/>
          <w:sz w:val="24"/>
        </w:rPr>
        <w:t>: 1% of sales.</w:t>
      </w:r>
    </w:p>
    <w:p w14:paraId="38029E87">
      <w:pPr>
        <w:spacing w:after="0" w:line="480" w:lineRule="auto"/>
        <w:ind w:firstLine="720"/>
        <w:rPr>
          <w:rFonts w:ascii="Times New Roman" w:hAnsi="Times New Roman" w:cs="Times New Roman"/>
          <w:sz w:val="24"/>
        </w:rPr>
      </w:pPr>
      <w:r>
        <w:rPr>
          <w:rFonts w:ascii="Times New Roman" w:hAnsi="Times New Roman" w:cs="Times New Roman"/>
          <w:b/>
          <w:bCs/>
          <w:sz w:val="24"/>
        </w:rPr>
        <w:t>Fixed Administrative Expenses</w:t>
      </w:r>
      <w:r>
        <w:rPr>
          <w:rFonts w:ascii="Times New Roman" w:hAnsi="Times New Roman" w:cs="Times New Roman"/>
          <w:sz w:val="24"/>
        </w:rPr>
        <w:t>: 300,000 pesos.</w:t>
      </w:r>
    </w:p>
    <w:p w14:paraId="578865D3">
      <w:pPr>
        <w:spacing w:after="0" w:line="480" w:lineRule="auto"/>
        <w:ind w:firstLine="720"/>
        <w:rPr>
          <w:rFonts w:ascii="Times New Roman" w:hAnsi="Times New Roman" w:cs="Times New Roman"/>
          <w:sz w:val="24"/>
        </w:rPr>
      </w:pPr>
      <w:r>
        <w:rPr>
          <w:rFonts w:ascii="Times New Roman" w:hAnsi="Times New Roman" w:cs="Times New Roman"/>
          <w:b/>
          <w:bCs/>
          <w:sz w:val="24"/>
        </w:rPr>
        <w:t>Depreciation</w:t>
      </w:r>
      <w:r>
        <w:rPr>
          <w:rFonts w:ascii="Times New Roman" w:hAnsi="Times New Roman" w:cs="Times New Roman"/>
          <w:sz w:val="24"/>
        </w:rPr>
        <w:t>: Although the case mentions straight-line depreciation, companies typically maximize depreciation early on to benefit from tax savings.</w:t>
      </w:r>
    </w:p>
    <w:p w14:paraId="26B7461E">
      <w:pPr>
        <w:spacing w:after="0" w:line="480" w:lineRule="auto"/>
        <w:ind w:firstLine="720"/>
        <w:rPr>
          <w:rFonts w:ascii="Times New Roman" w:hAnsi="Times New Roman" w:cs="Times New Roman"/>
          <w:sz w:val="24"/>
        </w:rPr>
      </w:pPr>
      <w:r>
        <w:rPr>
          <w:rFonts w:ascii="Times New Roman" w:hAnsi="Times New Roman" w:cs="Times New Roman"/>
          <w:sz w:val="24"/>
        </w:rPr>
        <w:t xml:space="preserve">Additionally, the project requires an </w:t>
      </w:r>
      <w:r>
        <w:rPr>
          <w:rFonts w:ascii="Times New Roman" w:hAnsi="Times New Roman" w:cs="Times New Roman"/>
          <w:b/>
          <w:bCs/>
          <w:sz w:val="24"/>
        </w:rPr>
        <w:t>initial investment of 50 million pesos</w:t>
      </w:r>
      <w:r>
        <w:rPr>
          <w:rFonts w:ascii="Times New Roman" w:hAnsi="Times New Roman" w:cs="Times New Roman"/>
          <w:sz w:val="24"/>
        </w:rPr>
        <w:t xml:space="preserve"> for new equipment, which can be sold after five years for 4 million pesos. Since the equipment will be fully depreciated by the end of Year 5, the sale of the equipment will generate a </w:t>
      </w:r>
      <w:r>
        <w:rPr>
          <w:rFonts w:ascii="Times New Roman" w:hAnsi="Times New Roman" w:cs="Times New Roman"/>
          <w:b/>
          <w:bCs/>
          <w:sz w:val="24"/>
        </w:rPr>
        <w:t>taxable capital gain</w:t>
      </w:r>
      <w:r>
        <w:rPr>
          <w:rFonts w:ascii="Times New Roman" w:hAnsi="Times New Roman" w:cs="Times New Roman"/>
          <w:sz w:val="24"/>
        </w:rPr>
        <w:t xml:space="preserve"> of 4 million pesos.</w:t>
      </w:r>
    </w:p>
    <w:p w14:paraId="6EF1F4F3">
      <w:pPr>
        <w:spacing w:after="0" w:line="480" w:lineRule="auto"/>
        <w:rPr>
          <w:rFonts w:ascii="Times New Roman" w:hAnsi="Times New Roman" w:cs="Times New Roman"/>
          <w:b/>
          <w:bCs/>
          <w:sz w:val="24"/>
        </w:rPr>
      </w:pPr>
      <w:r>
        <w:rPr>
          <w:rFonts w:hint="eastAsia" w:ascii="Times New Roman" w:hAnsi="Times New Roman" w:cs="Times New Roman"/>
          <w:b/>
          <w:bCs/>
          <w:sz w:val="24"/>
        </w:rPr>
        <w:t>2. P</w:t>
      </w:r>
      <w:r>
        <w:rPr>
          <w:rFonts w:ascii="Times New Roman" w:hAnsi="Times New Roman" w:cs="Times New Roman"/>
          <w:b/>
          <w:bCs/>
          <w:sz w:val="24"/>
        </w:rPr>
        <w:t xml:space="preserve">roject’s NPV, IRR, </w:t>
      </w:r>
      <w:r>
        <w:rPr>
          <w:rFonts w:hint="eastAsia" w:ascii="Times New Roman" w:hAnsi="Times New Roman" w:cs="Times New Roman"/>
          <w:b/>
          <w:bCs/>
          <w:sz w:val="24"/>
        </w:rPr>
        <w:t>P</w:t>
      </w:r>
      <w:r>
        <w:rPr>
          <w:rFonts w:ascii="Times New Roman" w:hAnsi="Times New Roman" w:cs="Times New Roman"/>
          <w:b/>
          <w:bCs/>
          <w:sz w:val="24"/>
        </w:rPr>
        <w:t xml:space="preserve">ayback </w:t>
      </w:r>
      <w:r>
        <w:rPr>
          <w:rFonts w:hint="eastAsia" w:ascii="Times New Roman" w:hAnsi="Times New Roman" w:cs="Times New Roman"/>
          <w:b/>
          <w:bCs/>
          <w:sz w:val="24"/>
        </w:rPr>
        <w:t>P</w:t>
      </w:r>
      <w:r>
        <w:rPr>
          <w:rFonts w:ascii="Times New Roman" w:hAnsi="Times New Roman" w:cs="Times New Roman"/>
          <w:b/>
          <w:bCs/>
          <w:sz w:val="24"/>
        </w:rPr>
        <w:t xml:space="preserve">eriod, and </w:t>
      </w:r>
      <w:r>
        <w:rPr>
          <w:rFonts w:hint="eastAsia" w:ascii="Times New Roman" w:hAnsi="Times New Roman" w:cs="Times New Roman"/>
          <w:b/>
          <w:bCs/>
          <w:sz w:val="24"/>
        </w:rPr>
        <w:t>P</w:t>
      </w:r>
      <w:r>
        <w:rPr>
          <w:rFonts w:ascii="Times New Roman" w:hAnsi="Times New Roman" w:cs="Times New Roman"/>
          <w:b/>
          <w:bCs/>
          <w:sz w:val="24"/>
        </w:rPr>
        <w:t xml:space="preserve">rofitability </w:t>
      </w:r>
      <w:r>
        <w:rPr>
          <w:rFonts w:hint="eastAsia" w:ascii="Times New Roman" w:hAnsi="Times New Roman" w:cs="Times New Roman"/>
          <w:b/>
          <w:bCs/>
          <w:sz w:val="24"/>
        </w:rPr>
        <w:t>I</w:t>
      </w:r>
      <w:r>
        <w:rPr>
          <w:rFonts w:ascii="Times New Roman" w:hAnsi="Times New Roman" w:cs="Times New Roman"/>
          <w:b/>
          <w:bCs/>
          <w:sz w:val="24"/>
        </w:rPr>
        <w:t>ndex</w:t>
      </w:r>
    </w:p>
    <w:p w14:paraId="258833C2">
      <w:pPr>
        <w:spacing w:after="0" w:line="480" w:lineRule="auto"/>
        <w:ind w:firstLine="720"/>
        <w:rPr>
          <w:rFonts w:ascii="Times New Roman" w:hAnsi="Times New Roman" w:cs="Times New Roman"/>
          <w:b/>
          <w:bCs/>
          <w:sz w:val="24"/>
        </w:rPr>
      </w:pPr>
      <w:r>
        <w:rPr>
          <w:rFonts w:ascii="Times New Roman" w:hAnsi="Times New Roman" w:cs="Times New Roman"/>
          <w:b/>
          <w:bCs/>
          <w:sz w:val="24"/>
        </w:rPr>
        <w:t>NPV Calculation</w:t>
      </w:r>
    </w:p>
    <w:p w14:paraId="5977167D">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The formula of NPV is </w:t>
      </w:r>
      <m:oMath>
        <m:r>
          <m:rPr/>
          <w:rPr>
            <w:rFonts w:ascii="Cambria Math" w:hAnsi="Cambria Math" w:cs="Times New Roman"/>
            <w:sz w:val="24"/>
          </w:rPr>
          <m:t>NPV=−</m:t>
        </m:r>
        <m:sSub>
          <m:sSubPr>
            <m:ctrlPr>
              <w:rPr>
                <w:rFonts w:ascii="Cambria Math" w:hAnsi="Cambria Math" w:cs="Times New Roman"/>
                <w:i/>
                <w:sz w:val="24"/>
              </w:rPr>
            </m:ctrlPr>
          </m:sSubPr>
          <m:e>
            <m:r>
              <m:rPr/>
              <w:rPr>
                <w:rFonts w:ascii="Cambria Math" w:hAnsi="Cambria Math" w:cs="Times New Roman"/>
                <w:sz w:val="24"/>
              </w:rPr>
              <m:t>C</m:t>
            </m:r>
            <m:ctrlPr>
              <w:rPr>
                <w:rFonts w:ascii="Cambria Math" w:hAnsi="Cambria Math" w:cs="Times New Roman"/>
                <w:i/>
                <w:sz w:val="24"/>
              </w:rPr>
            </m:ctrlPr>
          </m:e>
          <m:sub>
            <m:r>
              <m:rPr/>
              <w:rPr>
                <w:rFonts w:ascii="Cambria Math" w:hAnsi="Cambria Math" w:cs="Times New Roman"/>
                <w:sz w:val="24"/>
              </w:rPr>
              <m:t>0</m:t>
            </m:r>
            <m:ctrlPr>
              <w:rPr>
                <w:rFonts w:ascii="Cambria Math" w:hAnsi="Cambria Math" w:cs="Times New Roman"/>
                <w:i/>
                <w:sz w:val="24"/>
              </w:rPr>
            </m:ctrlPr>
          </m:sub>
        </m:sSub>
        <m:r>
          <m:rPr/>
          <w:rPr>
            <w:rFonts w:ascii="Cambria Math" w:hAnsi="Cambria Math" w:cs="Times New Roman"/>
            <w:sz w:val="24"/>
          </w:rPr>
          <m:t>+</m:t>
        </m:r>
        <m:nary>
          <m:naryPr>
            <m:chr m:val="∑"/>
            <m:limLoc m:val="subSup"/>
            <m:ctrlPr>
              <w:rPr>
                <w:rFonts w:ascii="Cambria Math" w:hAnsi="Cambria Math" w:cs="Times New Roman"/>
                <w:i/>
                <w:sz w:val="24"/>
              </w:rPr>
            </m:ctrlPr>
          </m:naryPr>
          <m:sub>
            <m:r>
              <m:rPr/>
              <w:rPr>
                <w:rFonts w:ascii="Cambria Math" w:hAnsi="Cambria Math" w:cs="Times New Roman"/>
                <w:sz w:val="24"/>
              </w:rPr>
              <m:t>t=1</m:t>
            </m:r>
            <m:ctrlPr>
              <w:rPr>
                <w:rFonts w:ascii="Cambria Math" w:hAnsi="Cambria Math" w:cs="Times New Roman"/>
                <w:i/>
                <w:sz w:val="24"/>
              </w:rPr>
            </m:ctrlPr>
          </m:sub>
          <m:sup>
            <m:r>
              <m:rPr/>
              <w:rPr>
                <w:rFonts w:ascii="Cambria Math" w:hAnsi="Cambria Math" w:cs="Times New Roman"/>
                <w:sz w:val="24"/>
              </w:rPr>
              <m:t>T</m:t>
            </m:r>
            <m:ctrlPr>
              <w:rPr>
                <w:rFonts w:ascii="Cambria Math" w:hAnsi="Cambria Math" w:cs="Times New Roman"/>
                <w:i/>
                <w:sz w:val="24"/>
              </w:rPr>
            </m:ctrlPr>
          </m:sup>
          <m:e>
            <m:f>
              <m:fPr>
                <m:ctrlPr>
                  <w:rPr>
                    <w:rFonts w:ascii="Cambria Math" w:hAnsi="Cambria Math" w:cs="Times New Roman"/>
                    <w:i/>
                    <w:sz w:val="24"/>
                  </w:rPr>
                </m:ctrlPr>
              </m:fPr>
              <m:num>
                <m:sSub>
                  <m:sSubPr>
                    <m:ctrlPr>
                      <w:rPr>
                        <w:rFonts w:ascii="Cambria Math" w:hAnsi="Cambria Math" w:cs="Times New Roman"/>
                        <w:i/>
                        <w:sz w:val="24"/>
                      </w:rPr>
                    </m:ctrlPr>
                  </m:sSubPr>
                  <m:e>
                    <m:r>
                      <m:rPr/>
                      <w:rPr>
                        <w:rFonts w:ascii="Cambria Math" w:hAnsi="Cambria Math" w:cs="Times New Roman"/>
                        <w:sz w:val="24"/>
                      </w:rPr>
                      <m:t>C</m:t>
                    </m:r>
                    <m:ctrlPr>
                      <w:rPr>
                        <w:rFonts w:ascii="Cambria Math" w:hAnsi="Cambria Math" w:cs="Times New Roman"/>
                        <w:i/>
                        <w:sz w:val="24"/>
                      </w:rPr>
                    </m:ctrlPr>
                  </m:e>
                  <m:sub>
                    <m:r>
                      <m:rPr/>
                      <w:rPr>
                        <w:rFonts w:ascii="Cambria Math" w:hAnsi="Cambria Math" w:cs="Times New Roman"/>
                        <w:sz w:val="24"/>
                      </w:rPr>
                      <m:t>t</m:t>
                    </m:r>
                    <m:ctrlPr>
                      <w:rPr>
                        <w:rFonts w:ascii="Cambria Math" w:hAnsi="Cambria Math" w:cs="Times New Roman"/>
                        <w:i/>
                        <w:sz w:val="24"/>
                      </w:rPr>
                    </m:ctrlPr>
                  </m:sub>
                </m:sSub>
                <m:ctrlPr>
                  <w:rPr>
                    <w:rFonts w:ascii="Cambria Math" w:hAnsi="Cambria Math" w:cs="Times New Roman"/>
                    <w:i/>
                    <w:sz w:val="24"/>
                  </w:rPr>
                </m:ctrlPr>
              </m:num>
              <m:den>
                <m:sSup>
                  <m:sSupPr>
                    <m:ctrlPr>
                      <w:rPr>
                        <w:rFonts w:ascii="Cambria Math" w:hAnsi="Cambria Math" w:cs="Times New Roman"/>
                        <w:i/>
                        <w:sz w:val="24"/>
                      </w:rPr>
                    </m:ctrlPr>
                  </m:sSupPr>
                  <m:e>
                    <m:r>
                      <m:rPr/>
                      <w:rPr>
                        <w:rFonts w:ascii="Cambria Math" w:hAnsi="Cambria Math" w:cs="Times New Roman"/>
                        <w:sz w:val="24"/>
                      </w:rPr>
                      <m:t>(1+r)</m:t>
                    </m:r>
                    <m:ctrlPr>
                      <w:rPr>
                        <w:rFonts w:ascii="Cambria Math" w:hAnsi="Cambria Math" w:cs="Times New Roman"/>
                        <w:i/>
                        <w:sz w:val="24"/>
                      </w:rPr>
                    </m:ctrlPr>
                  </m:e>
                  <m:sup>
                    <m:r>
                      <m:rPr/>
                      <w:rPr>
                        <w:rFonts w:ascii="Cambria Math" w:hAnsi="Cambria Math" w:cs="Times New Roman"/>
                        <w:sz w:val="24"/>
                      </w:rPr>
                      <m:t>t</m:t>
                    </m:r>
                    <m:ctrlPr>
                      <w:rPr>
                        <w:rFonts w:ascii="Cambria Math" w:hAnsi="Cambria Math" w:cs="Times New Roman"/>
                        <w:i/>
                        <w:sz w:val="24"/>
                      </w:rPr>
                    </m:ctrlPr>
                  </m:sup>
                </m:sSup>
                <m:ctrlPr>
                  <w:rPr>
                    <w:rFonts w:ascii="Cambria Math" w:hAnsi="Cambria Math" w:cs="Times New Roman"/>
                    <w:i/>
                    <w:sz w:val="24"/>
                  </w:rPr>
                </m:ctrlPr>
              </m:den>
            </m:f>
            <m:ctrlPr>
              <w:rPr>
                <w:rFonts w:ascii="Cambria Math" w:hAnsi="Cambria Math" w:cs="Times New Roman"/>
                <w:i/>
                <w:sz w:val="24"/>
              </w:rPr>
            </m:ctrlPr>
          </m:e>
        </m:nary>
      </m:oMath>
      <w:r>
        <w:rPr>
          <w:rFonts w:hint="eastAsia" w:ascii="Times New Roman" w:hAnsi="Times New Roman" w:cs="Times New Roman"/>
          <w:sz w:val="24"/>
        </w:rPr>
        <w:t xml:space="preserve">. </w:t>
      </w:r>
    </w:p>
    <w:p w14:paraId="79900159">
      <w:pPr>
        <w:spacing w:after="0" w:line="480" w:lineRule="auto"/>
        <w:ind w:firstLine="720"/>
        <w:rPr>
          <w:rFonts w:ascii="Times New Roman" w:hAnsi="Times New Roman" w:cs="Times New Roman"/>
          <w:sz w:val="24"/>
        </w:rPr>
      </w:pPr>
      <w:r>
        <w:rPr>
          <w:rFonts w:ascii="Times New Roman" w:hAnsi="Times New Roman" w:cs="Times New Roman"/>
          <w:sz w:val="24"/>
        </w:rPr>
        <w:t>Using Excel, the NPV is calculated as:</w:t>
      </w:r>
      <w:r>
        <w:rPr>
          <w:rFonts w:hint="eastAsia" w:ascii="Times New Roman" w:hAnsi="Times New Roman" w:cs="Times New Roman"/>
          <w:sz w:val="24"/>
        </w:rPr>
        <w:t xml:space="preserve"> </w:t>
      </w:r>
      <w:r>
        <w:rPr>
          <w:rFonts w:ascii="Times New Roman" w:hAnsi="Times New Roman" w:cs="Times New Roman"/>
          <w:sz w:val="24"/>
        </w:rPr>
        <w:t>“</w:t>
      </w:r>
      <w:r>
        <w:rPr>
          <w:rFonts w:hint="eastAsia" w:ascii="Times New Roman" w:hAnsi="Times New Roman" w:cs="Times New Roman"/>
          <w:sz w:val="24"/>
        </w:rPr>
        <w:t>=NPV(H12,D60:H60)+C60</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hAnsi="Times New Roman" w:cs="Times New Roman"/>
          <w:sz w:val="24"/>
        </w:rPr>
        <w:t xml:space="preserve">which results in </w:t>
      </w:r>
      <w:r>
        <w:rPr>
          <w:rFonts w:ascii="Times New Roman" w:hAnsi="Times New Roman" w:cs="Times New Roman"/>
          <w:b/>
          <w:bCs/>
          <w:sz w:val="24"/>
        </w:rPr>
        <w:t>NPV = -1,716,061 pesos</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hAnsi="Times New Roman" w:cs="Times New Roman"/>
          <w:sz w:val="24"/>
        </w:rPr>
        <w:t>This negative NPV indicates that the project will result in a loss for the firm.</w:t>
      </w:r>
    </w:p>
    <w:p w14:paraId="7D0FFBE8">
      <w:pPr>
        <w:spacing w:after="0" w:line="480" w:lineRule="auto"/>
        <w:ind w:firstLine="720"/>
        <w:rPr>
          <w:rFonts w:ascii="Times New Roman" w:hAnsi="Times New Roman" w:cs="Times New Roman"/>
          <w:b/>
          <w:bCs/>
          <w:sz w:val="24"/>
        </w:rPr>
      </w:pPr>
      <w:r>
        <w:rPr>
          <w:rFonts w:ascii="Times New Roman" w:hAnsi="Times New Roman" w:cs="Times New Roman"/>
          <w:b/>
          <w:bCs/>
          <w:sz w:val="24"/>
        </w:rPr>
        <w:t>IRR Calculation</w:t>
      </w:r>
    </w:p>
    <w:p w14:paraId="18F21A4E">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With the same method, the formula of IRR is </w:t>
      </w:r>
      <m:oMath>
        <m:nary>
          <m:naryPr>
            <m:chr m:val="∑"/>
            <m:limLoc m:val="subSup"/>
            <m:ctrlPr>
              <w:rPr>
                <w:rFonts w:ascii="Cambria Math" w:hAnsi="Cambria Math" w:cs="Times New Roman"/>
                <w:i/>
                <w:sz w:val="24"/>
              </w:rPr>
            </m:ctrlPr>
          </m:naryPr>
          <m:sub>
            <m:r>
              <m:rPr/>
              <w:rPr>
                <w:rFonts w:ascii="Cambria Math" w:hAnsi="Cambria Math" w:cs="Times New Roman"/>
                <w:sz w:val="24"/>
              </w:rPr>
              <m:t>t=0</m:t>
            </m:r>
            <m:ctrlPr>
              <w:rPr>
                <w:rFonts w:ascii="Cambria Math" w:hAnsi="Cambria Math" w:cs="Times New Roman"/>
                <w:i/>
                <w:sz w:val="24"/>
              </w:rPr>
            </m:ctrlPr>
          </m:sub>
          <m:sup>
            <m:r>
              <m:rPr/>
              <w:rPr>
                <w:rFonts w:ascii="Cambria Math" w:hAnsi="Cambria Math" w:cs="Times New Roman"/>
                <w:sz w:val="24"/>
              </w:rPr>
              <m:t>T</m:t>
            </m:r>
            <m:ctrlPr>
              <w:rPr>
                <w:rFonts w:ascii="Cambria Math" w:hAnsi="Cambria Math" w:cs="Times New Roman"/>
                <w:i/>
                <w:sz w:val="24"/>
              </w:rPr>
            </m:ctrlPr>
          </m:sup>
          <m:e>
            <m:f>
              <m:fPr>
                <m:ctrlPr>
                  <w:rPr>
                    <w:rFonts w:ascii="Cambria Math" w:hAnsi="Cambria Math" w:cs="Times New Roman"/>
                    <w:i/>
                    <w:sz w:val="24"/>
                  </w:rPr>
                </m:ctrlPr>
              </m:fPr>
              <m:num>
                <m:sSub>
                  <m:sSubPr>
                    <m:ctrlPr>
                      <w:rPr>
                        <w:rFonts w:ascii="Cambria Math" w:hAnsi="Cambria Math" w:cs="Times New Roman"/>
                        <w:i/>
                        <w:sz w:val="24"/>
                      </w:rPr>
                    </m:ctrlPr>
                  </m:sSubPr>
                  <m:e>
                    <m:r>
                      <m:rPr/>
                      <w:rPr>
                        <w:rFonts w:ascii="Cambria Math" w:hAnsi="Cambria Math" w:cs="Times New Roman"/>
                        <w:sz w:val="24"/>
                      </w:rPr>
                      <m:t>C</m:t>
                    </m:r>
                    <m:ctrlPr>
                      <w:rPr>
                        <w:rFonts w:ascii="Cambria Math" w:hAnsi="Cambria Math" w:cs="Times New Roman"/>
                        <w:i/>
                        <w:sz w:val="24"/>
                      </w:rPr>
                    </m:ctrlPr>
                  </m:e>
                  <m:sub>
                    <m:r>
                      <m:rPr/>
                      <w:rPr>
                        <w:rFonts w:ascii="Cambria Math" w:hAnsi="Cambria Math" w:cs="Times New Roman"/>
                        <w:sz w:val="24"/>
                      </w:rPr>
                      <m:t>t</m:t>
                    </m:r>
                    <m:ctrlPr>
                      <w:rPr>
                        <w:rFonts w:ascii="Cambria Math" w:hAnsi="Cambria Math" w:cs="Times New Roman"/>
                        <w:i/>
                        <w:sz w:val="24"/>
                      </w:rPr>
                    </m:ctrlPr>
                  </m:sub>
                </m:sSub>
                <m:ctrlPr>
                  <w:rPr>
                    <w:rFonts w:ascii="Cambria Math" w:hAnsi="Cambria Math" w:cs="Times New Roman"/>
                    <w:i/>
                    <w:sz w:val="24"/>
                  </w:rPr>
                </m:ctrlPr>
              </m:num>
              <m:den>
                <m:sSup>
                  <m:sSupPr>
                    <m:ctrlPr>
                      <w:rPr>
                        <w:rFonts w:ascii="Cambria Math" w:hAnsi="Cambria Math" w:cs="Times New Roman"/>
                        <w:i/>
                        <w:sz w:val="24"/>
                      </w:rPr>
                    </m:ctrlPr>
                  </m:sSupPr>
                  <m:e>
                    <m:r>
                      <m:rPr/>
                      <w:rPr>
                        <w:rFonts w:ascii="Cambria Math" w:hAnsi="Cambria Math" w:cs="Times New Roman"/>
                        <w:sz w:val="24"/>
                      </w:rPr>
                      <m:t>(1+IRR)</m:t>
                    </m:r>
                    <m:ctrlPr>
                      <w:rPr>
                        <w:rFonts w:ascii="Cambria Math" w:hAnsi="Cambria Math" w:cs="Times New Roman"/>
                        <w:i/>
                        <w:sz w:val="24"/>
                      </w:rPr>
                    </m:ctrlPr>
                  </m:e>
                  <m:sup>
                    <m:r>
                      <m:rPr/>
                      <w:rPr>
                        <w:rFonts w:hint="eastAsia" w:ascii="Cambria Math" w:hAnsi="Cambria Math" w:cs="Times New Roman"/>
                        <w:sz w:val="24"/>
                      </w:rPr>
                      <m:t>t</m:t>
                    </m:r>
                    <m:ctrlPr>
                      <w:rPr>
                        <w:rFonts w:ascii="Cambria Math" w:hAnsi="Cambria Math" w:cs="Times New Roman"/>
                        <w:i/>
                        <w:sz w:val="24"/>
                      </w:rPr>
                    </m:ctrlPr>
                  </m:sup>
                </m:sSup>
                <m:ctrlPr>
                  <w:rPr>
                    <w:rFonts w:ascii="Cambria Math" w:hAnsi="Cambria Math" w:cs="Times New Roman"/>
                    <w:i/>
                    <w:sz w:val="24"/>
                  </w:rPr>
                </m:ctrlPr>
              </m:den>
            </m:f>
            <m:ctrlPr>
              <w:rPr>
                <w:rFonts w:ascii="Cambria Math" w:hAnsi="Cambria Math" w:cs="Times New Roman"/>
                <w:i/>
                <w:sz w:val="24"/>
              </w:rPr>
            </m:ctrlPr>
          </m:e>
        </m:nary>
        <m:r>
          <m:rPr/>
          <w:rPr>
            <w:rFonts w:ascii="Cambria Math" w:hAnsi="Cambria Math" w:cs="Times New Roman"/>
            <w:sz w:val="24"/>
          </w:rPr>
          <m:t>=0</m:t>
        </m:r>
      </m:oMath>
      <w:r>
        <w:rPr>
          <w:rFonts w:hint="eastAsia" w:ascii="Times New Roman" w:hAnsi="Times New Roman" w:cs="Times New Roman"/>
          <w:sz w:val="24"/>
        </w:rPr>
        <w:t xml:space="preserve">, and we use the Excel function </w:t>
      </w:r>
      <w:r>
        <w:rPr>
          <w:rFonts w:ascii="Times New Roman" w:hAnsi="Times New Roman" w:cs="Times New Roman"/>
          <w:sz w:val="24"/>
        </w:rPr>
        <w:t>“</w:t>
      </w:r>
      <w:r>
        <w:rPr>
          <w:rFonts w:hint="eastAsia" w:ascii="Times New Roman" w:hAnsi="Times New Roman" w:cs="Times New Roman"/>
          <w:sz w:val="24"/>
        </w:rPr>
        <w:t>=IRR(C60:H60)</w:t>
      </w:r>
      <w:r>
        <w:rPr>
          <w:rFonts w:ascii="Times New Roman" w:hAnsi="Times New Roman" w:cs="Times New Roman"/>
          <w:sz w:val="24"/>
        </w:rPr>
        <w:t>”</w:t>
      </w:r>
      <w:r>
        <w:rPr>
          <w:rFonts w:hint="eastAsia" w:ascii="Times New Roman" w:hAnsi="Times New Roman" w:cs="Times New Roman"/>
          <w:sz w:val="24"/>
        </w:rPr>
        <w:t xml:space="preserve"> to calculate IRR. IRR is </w:t>
      </w:r>
      <w:r>
        <w:rPr>
          <w:rFonts w:hint="eastAsia" w:ascii="Times New Roman" w:hAnsi="Times New Roman" w:cs="Times New Roman"/>
          <w:b/>
          <w:bCs/>
          <w:sz w:val="24"/>
        </w:rPr>
        <w:t>16.86%</w:t>
      </w:r>
      <w:r>
        <w:rPr>
          <w:rFonts w:hint="eastAsia" w:ascii="Times New Roman" w:hAnsi="Times New Roman" w:cs="Times New Roman"/>
          <w:sz w:val="24"/>
        </w:rPr>
        <w:t xml:space="preserve">, which is less than the WACC 18.2%, expressing that this project </w:t>
      </w:r>
      <w:r>
        <w:rPr>
          <w:rFonts w:ascii="Times New Roman" w:hAnsi="Times New Roman" w:cs="Times New Roman"/>
          <w:sz w:val="24"/>
        </w:rPr>
        <w:t>cannot</w:t>
      </w:r>
      <w:r>
        <w:rPr>
          <w:rFonts w:hint="eastAsia" w:ascii="Times New Roman" w:hAnsi="Times New Roman" w:cs="Times New Roman"/>
          <w:sz w:val="24"/>
        </w:rPr>
        <w:t xml:space="preserve"> cover the cost.</w:t>
      </w:r>
    </w:p>
    <w:p w14:paraId="62BD4E84">
      <w:pPr>
        <w:spacing w:after="0" w:line="480" w:lineRule="auto"/>
        <w:ind w:firstLine="720"/>
        <w:rPr>
          <w:rFonts w:ascii="Times New Roman" w:hAnsi="Times New Roman" w:cs="Times New Roman"/>
          <w:b/>
          <w:bCs/>
          <w:sz w:val="24"/>
        </w:rPr>
      </w:pPr>
      <w:r>
        <w:rPr>
          <w:rFonts w:ascii="Times New Roman" w:hAnsi="Times New Roman" w:cs="Times New Roman"/>
          <w:b/>
          <w:bCs/>
          <w:sz w:val="24"/>
        </w:rPr>
        <w:t>Payback Period Calculation</w:t>
      </w:r>
    </w:p>
    <w:p w14:paraId="5B25CB17">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The formula of </w:t>
      </w:r>
      <w:r>
        <w:rPr>
          <w:rFonts w:ascii="Times New Roman" w:hAnsi="Times New Roman" w:cs="Times New Roman"/>
          <w:sz w:val="24"/>
        </w:rPr>
        <w:t xml:space="preserve">Payback </w:t>
      </w:r>
      <w:r>
        <w:rPr>
          <w:rFonts w:hint="eastAsia" w:ascii="Times New Roman" w:hAnsi="Times New Roman" w:cs="Times New Roman"/>
          <w:sz w:val="24"/>
        </w:rPr>
        <w:t>P</w:t>
      </w:r>
      <w:r>
        <w:rPr>
          <w:rFonts w:ascii="Times New Roman" w:hAnsi="Times New Roman" w:cs="Times New Roman"/>
          <w:sz w:val="24"/>
        </w:rPr>
        <w:t>eriod</w:t>
      </w:r>
      <w:r>
        <w:rPr>
          <w:rFonts w:hint="eastAsia" w:ascii="Times New Roman" w:hAnsi="Times New Roman" w:cs="Times New Roman"/>
          <w:sz w:val="24"/>
        </w:rPr>
        <w:t xml:space="preserve"> is as follows:</w:t>
      </w:r>
    </w:p>
    <w:p w14:paraId="773D3C8A">
      <w:pPr>
        <w:spacing w:after="0" w:line="480" w:lineRule="auto"/>
        <w:ind w:firstLine="720"/>
        <w:rPr>
          <w:rFonts w:ascii="Times New Roman" w:hAnsi="Times New Roman" w:cs="Times New Roman"/>
          <w:sz w:val="24"/>
        </w:rPr>
      </w:pPr>
      <m:oMath>
        <m:r>
          <m:rPr>
            <m:sty m:val="p"/>
          </m:rPr>
          <w:rPr>
            <w:rFonts w:ascii="Cambria Math" w:hAnsi="Cambria Math" w:cs="Times New Roman"/>
            <w:sz w:val="24"/>
          </w:rPr>
          <m:t>Payback Period=T−1+</m:t>
        </m:r>
        <m:f>
          <m:fPr>
            <m:ctrlPr>
              <w:rPr>
                <w:rFonts w:ascii="Cambria Math" w:hAnsi="Cambria Math" w:cs="Times New Roman"/>
                <w:sz w:val="24"/>
              </w:rPr>
            </m:ctrlPr>
          </m:fPr>
          <m:num>
            <m:sSub>
              <m:sSubPr>
                <m:ctrlPr>
                  <w:rPr>
                    <w:rFonts w:ascii="Cambria Math" w:hAnsi="Cambria Math" w:cs="Times New Roman"/>
                    <w:i/>
                    <w:sz w:val="24"/>
                  </w:rPr>
                </m:ctrlPr>
              </m:sSubPr>
              <m:e>
                <m:r>
                  <m:rPr>
                    <m:sty m:val="p"/>
                  </m:rPr>
                  <w:rPr>
                    <w:rFonts w:ascii="Cambria Math" w:hAnsi="Cambria Math" w:cs="Times New Roman"/>
                    <w:sz w:val="24"/>
                  </w:rPr>
                  <m:t>Cumulative Sum</m:t>
                </m:r>
                <m:ctrlPr>
                  <w:rPr>
                    <w:rFonts w:ascii="Cambria Math" w:hAnsi="Cambria Math" w:cs="Times New Roman"/>
                    <w:i/>
                    <w:sz w:val="24"/>
                  </w:rPr>
                </m:ctrlPr>
              </m:e>
              <m:sub>
                <m:r>
                  <m:rPr/>
                  <w:rPr>
                    <w:rFonts w:ascii="Cambria Math" w:hAnsi="Cambria Math" w:cs="Times New Roman"/>
                    <w:sz w:val="24"/>
                  </w:rPr>
                  <m:t>t−1</m:t>
                </m:r>
                <m:ctrlPr>
                  <w:rPr>
                    <w:rFonts w:ascii="Cambria Math" w:hAnsi="Cambria Math" w:cs="Times New Roman"/>
                    <w:i/>
                    <w:sz w:val="24"/>
                  </w:rPr>
                </m:ctrlPr>
              </m:sub>
            </m:sSub>
            <m:ctrlPr>
              <w:rPr>
                <w:rFonts w:ascii="Cambria Math" w:hAnsi="Cambria Math" w:cs="Times New Roman"/>
                <w:sz w:val="24"/>
              </w:rPr>
            </m:ctrlPr>
          </m:num>
          <m:den>
            <m:sSub>
              <m:sSubPr>
                <m:ctrlPr>
                  <w:rPr>
                    <w:rFonts w:ascii="Cambria Math" w:hAnsi="Cambria Math" w:cs="Times New Roman"/>
                    <w:i/>
                    <w:sz w:val="24"/>
                  </w:rPr>
                </m:ctrlPr>
              </m:sSubPr>
              <m:e>
                <m:r>
                  <m:rPr>
                    <m:sty m:val="p"/>
                  </m:rPr>
                  <w:rPr>
                    <w:rFonts w:ascii="Cambria Math" w:hAnsi="Cambria Math" w:cs="Times New Roman"/>
                    <w:sz w:val="24"/>
                  </w:rPr>
                  <m:t>Cash Flow</m:t>
                </m:r>
                <m:ctrlPr>
                  <w:rPr>
                    <w:rFonts w:ascii="Cambria Math" w:hAnsi="Cambria Math" w:cs="Times New Roman"/>
                    <w:i/>
                    <w:sz w:val="24"/>
                  </w:rPr>
                </m:ctrlPr>
              </m:e>
              <m:sub>
                <m:r>
                  <m:rPr/>
                  <w:rPr>
                    <w:rFonts w:ascii="Cambria Math" w:hAnsi="Cambria Math" w:cs="Times New Roman"/>
                    <w:sz w:val="24"/>
                  </w:rPr>
                  <m:t>T</m:t>
                </m:r>
                <m:ctrlPr>
                  <w:rPr>
                    <w:rFonts w:ascii="Cambria Math" w:hAnsi="Cambria Math" w:cs="Times New Roman"/>
                    <w:i/>
                    <w:sz w:val="24"/>
                  </w:rPr>
                </m:ctrlPr>
              </m:sub>
            </m:sSub>
            <m:ctrlPr>
              <w:rPr>
                <w:rFonts w:ascii="Cambria Math" w:hAnsi="Cambria Math" w:cs="Times New Roman"/>
                <w:sz w:val="24"/>
              </w:rPr>
            </m:ctrlPr>
          </m:den>
        </m:f>
      </m:oMath>
      <w:r>
        <w:rPr>
          <w:rFonts w:ascii="Times New Roman" w:hAnsi="Times New Roman" w:cs="Times New Roman"/>
          <w:sz w:val="24"/>
        </w:rPr>
        <w:t xml:space="preserve"> </w:t>
      </w:r>
    </w:p>
    <w:p w14:paraId="2D7D84AC">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While Discounted Payback Period is </w:t>
      </w:r>
      <w:r>
        <w:rPr>
          <w:rFonts w:ascii="Times New Roman" w:hAnsi="Times New Roman" w:cs="Times New Roman"/>
          <w:sz w:val="24"/>
        </w:rPr>
        <w:t>like</w:t>
      </w:r>
      <w:r>
        <w:rPr>
          <w:rFonts w:hint="eastAsia" w:ascii="Times New Roman" w:hAnsi="Times New Roman" w:cs="Times New Roman"/>
          <w:sz w:val="24"/>
        </w:rPr>
        <w:t xml:space="preserve"> the formula of </w:t>
      </w:r>
      <w:r>
        <w:rPr>
          <w:rFonts w:ascii="Times New Roman" w:hAnsi="Times New Roman" w:cs="Times New Roman"/>
          <w:sz w:val="24"/>
        </w:rPr>
        <w:t xml:space="preserve">Payback </w:t>
      </w:r>
      <w:r>
        <w:rPr>
          <w:rFonts w:hint="eastAsia" w:ascii="Times New Roman" w:hAnsi="Times New Roman" w:cs="Times New Roman"/>
          <w:sz w:val="24"/>
        </w:rPr>
        <w:t>P</w:t>
      </w:r>
      <w:r>
        <w:rPr>
          <w:rFonts w:ascii="Times New Roman" w:hAnsi="Times New Roman" w:cs="Times New Roman"/>
          <w:sz w:val="24"/>
        </w:rPr>
        <w:t>eriod</w:t>
      </w:r>
      <w:r>
        <w:rPr>
          <w:rFonts w:hint="eastAsia" w:ascii="Times New Roman" w:hAnsi="Times New Roman" w:cs="Times New Roman"/>
          <w:sz w:val="24"/>
        </w:rPr>
        <w:t xml:space="preserve">, considering the discounting of money. So we use the Excel function </w:t>
      </w:r>
      <w:r>
        <w:rPr>
          <w:rFonts w:ascii="Times New Roman" w:hAnsi="Times New Roman" w:cs="Times New Roman"/>
          <w:sz w:val="24"/>
        </w:rPr>
        <w:t>“</w:t>
      </w:r>
      <w:r>
        <w:rPr>
          <w:rFonts w:hint="eastAsia" w:ascii="Times New Roman" w:hAnsi="Times New Roman" w:cs="Times New Roman"/>
          <w:sz w:val="24"/>
        </w:rPr>
        <w:t>=IFERROR(COUNTIF(D61:H61,"&lt; "&amp;0&amp;" ")+(-INDIRECT(ADDRESS(61,MATCH(TRUE,D61:H61&gt;0,0)+2))/INDIRECT(ADDRESS(60,MATCH(TRUE,D61:H61&gt;0,0)+3))), FALSE)</w:t>
      </w:r>
      <w:r>
        <w:rPr>
          <w:rFonts w:ascii="Times New Roman" w:hAnsi="Times New Roman" w:cs="Times New Roman"/>
          <w:sz w:val="24"/>
        </w:rPr>
        <w:t>”</w:t>
      </w:r>
      <w:r>
        <w:rPr>
          <w:rFonts w:hint="eastAsia" w:ascii="Times New Roman" w:hAnsi="Times New Roman" w:cs="Times New Roman"/>
          <w:sz w:val="24"/>
        </w:rPr>
        <w:t xml:space="preserve"> to calculate the Payback Period and find that Payback Period is </w:t>
      </w:r>
      <w:r>
        <w:rPr>
          <w:rFonts w:hint="eastAsia" w:ascii="Times New Roman" w:hAnsi="Times New Roman" w:cs="Times New Roman"/>
          <w:b/>
          <w:bCs/>
          <w:sz w:val="24"/>
        </w:rPr>
        <w:t>3.41</w:t>
      </w:r>
      <w:r>
        <w:rPr>
          <w:rFonts w:hint="eastAsia" w:ascii="Times New Roman" w:hAnsi="Times New Roman" w:cs="Times New Roman"/>
          <w:sz w:val="24"/>
        </w:rPr>
        <w:t xml:space="preserve">, showing that this project can get the break-even point at the 3.41 year when ignoring the effect of discounting. </w:t>
      </w:r>
    </w:p>
    <w:p w14:paraId="2FD506EF">
      <w:pPr>
        <w:spacing w:after="0" w:line="480" w:lineRule="auto"/>
        <w:ind w:firstLine="720"/>
        <w:rPr>
          <w:rFonts w:ascii="Times New Roman" w:hAnsi="Times New Roman" w:cs="Times New Roman"/>
          <w:b/>
          <w:bCs/>
          <w:sz w:val="24"/>
        </w:rPr>
      </w:pPr>
      <w:r>
        <w:rPr>
          <w:rFonts w:ascii="Times New Roman" w:hAnsi="Times New Roman" w:cs="Times New Roman"/>
          <w:b/>
          <w:bCs/>
          <w:sz w:val="24"/>
        </w:rPr>
        <w:t>Discounted Payback Period Calculation</w:t>
      </w:r>
    </w:p>
    <w:p w14:paraId="548F6D14">
      <w:pPr>
        <w:spacing w:after="0" w:line="480" w:lineRule="auto"/>
        <w:ind w:firstLine="720"/>
        <w:rPr>
          <w:rFonts w:ascii="Times New Roman" w:hAnsi="Times New Roman" w:cs="Times New Roman"/>
          <w:sz w:val="24"/>
        </w:rPr>
      </w:pPr>
      <w:r>
        <w:rPr>
          <w:rFonts w:ascii="Times New Roman" w:hAnsi="Times New Roman" w:cs="Times New Roman"/>
          <w:sz w:val="24"/>
        </w:rPr>
        <w:t>Similarly, the Discounted Payback Period is calculated considering the time value of money.</w:t>
      </w:r>
    </w:p>
    <w:p w14:paraId="65595DDE">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We use </w:t>
      </w:r>
      <w:r>
        <w:rPr>
          <w:rFonts w:ascii="Times New Roman" w:hAnsi="Times New Roman" w:cs="Times New Roman"/>
          <w:sz w:val="24"/>
        </w:rPr>
        <w:t>“</w:t>
      </w:r>
      <w:r>
        <w:rPr>
          <w:rFonts w:hint="eastAsia" w:ascii="Times New Roman" w:hAnsi="Times New Roman" w:cs="Times New Roman"/>
          <w:sz w:val="24"/>
        </w:rPr>
        <w:t>=IFERROR(COUNTIF(D64:H64,"&lt; "&amp;0&amp;" ")+(-INDIRECT(ADDRESS(64,MATCH(TRUE,D64:H64&gt;0,0)+2))/INDIRECT(ADDRESS(63,MATCH(TRUE,D64:H64&gt;0,0)+3))), FALSE)</w:t>
      </w:r>
      <w:r>
        <w:rPr>
          <w:rFonts w:ascii="Times New Roman" w:hAnsi="Times New Roman" w:cs="Times New Roman"/>
          <w:sz w:val="24"/>
        </w:rPr>
        <w:t>”</w:t>
      </w:r>
      <w:r>
        <w:rPr>
          <w:rFonts w:hint="eastAsia" w:ascii="Times New Roman" w:hAnsi="Times New Roman" w:cs="Times New Roman"/>
          <w:sz w:val="24"/>
        </w:rPr>
        <w:t xml:space="preserve"> to calculate Discounted Payback Period</w:t>
      </w:r>
      <w:r>
        <w:rPr>
          <w:rFonts w:ascii="Times New Roman" w:hAnsi="Times New Roman" w:cs="Times New Roman"/>
          <w:sz w:val="24"/>
        </w:rPr>
        <w:t xml:space="preserve">, which results in </w:t>
      </w:r>
      <w:r>
        <w:rPr>
          <w:rFonts w:ascii="Times New Roman" w:hAnsi="Times New Roman" w:cs="Times New Roman"/>
          <w:b/>
          <w:bCs/>
          <w:sz w:val="24"/>
        </w:rPr>
        <w:t>FALSE</w:t>
      </w:r>
      <w:r>
        <w:rPr>
          <w:rFonts w:ascii="Times New Roman" w:hAnsi="Times New Roman" w:cs="Times New Roman"/>
          <w:sz w:val="24"/>
        </w:rPr>
        <w:t>. This means the project will never recover its investment when accounting for the effect of discounting.</w:t>
      </w:r>
    </w:p>
    <w:p w14:paraId="1EAA2067">
      <w:pPr>
        <w:spacing w:after="0" w:line="480" w:lineRule="auto"/>
        <w:ind w:firstLine="720"/>
        <w:rPr>
          <w:rFonts w:ascii="Times New Roman" w:hAnsi="Times New Roman" w:cs="Times New Roman"/>
          <w:b/>
          <w:bCs/>
          <w:sz w:val="24"/>
        </w:rPr>
      </w:pPr>
      <w:r>
        <w:rPr>
          <w:rFonts w:ascii="Times New Roman" w:hAnsi="Times New Roman" w:cs="Times New Roman"/>
          <w:b/>
          <w:bCs/>
          <w:sz w:val="24"/>
        </w:rPr>
        <w:t>Profitability Index Calculation</w:t>
      </w:r>
    </w:p>
    <w:p w14:paraId="67E5273B">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For the Profitability Index, the formula is </w:t>
      </w:r>
      <m:oMath>
        <m:r>
          <m:rPr/>
          <w:rPr>
            <w:rFonts w:ascii="Cambria Math" w:hAnsi="Cambria Math" w:cs="Times New Roman"/>
            <w:sz w:val="24"/>
          </w:rPr>
          <m:t>PI=</m:t>
        </m:r>
        <m:f>
          <m:fPr>
            <m:ctrlPr>
              <w:rPr>
                <w:rFonts w:ascii="Cambria Math" w:hAnsi="Cambria Math" w:cs="Times New Roman"/>
                <w:i/>
                <w:sz w:val="24"/>
              </w:rPr>
            </m:ctrlPr>
          </m:fPr>
          <m:num>
            <m:r>
              <m:rPr/>
              <w:rPr>
                <w:rFonts w:ascii="Cambria Math" w:hAnsi="Cambria Math" w:cs="Times New Roman"/>
                <w:sz w:val="24"/>
              </w:rPr>
              <m:t>I+NPV</m:t>
            </m:r>
            <m:ctrlPr>
              <w:rPr>
                <w:rFonts w:ascii="Cambria Math" w:hAnsi="Cambria Math" w:cs="Times New Roman"/>
                <w:i/>
                <w:sz w:val="24"/>
              </w:rPr>
            </m:ctrlPr>
          </m:num>
          <m:den>
            <m:r>
              <m:rPr/>
              <w:rPr>
                <w:rFonts w:ascii="Cambria Math" w:hAnsi="Cambria Math" w:cs="Times New Roman"/>
                <w:sz w:val="24"/>
              </w:rPr>
              <m:t>I</m:t>
            </m:r>
            <m:ctrlPr>
              <w:rPr>
                <w:rFonts w:ascii="Cambria Math" w:hAnsi="Cambria Math" w:cs="Times New Roman"/>
                <w:i/>
                <w:sz w:val="24"/>
              </w:rPr>
            </m:ctrlPr>
          </m:den>
        </m:f>
      </m:oMath>
      <w:r>
        <w:rPr>
          <w:rFonts w:hint="eastAsia" w:ascii="Times New Roman" w:hAnsi="Times New Roman" w:cs="Times New Roman"/>
          <w:sz w:val="24"/>
        </w:rPr>
        <w:t>.</w:t>
      </w:r>
    </w:p>
    <w:p w14:paraId="197EFEB8">
      <w:pPr>
        <w:spacing w:after="0" w:line="480" w:lineRule="auto"/>
        <w:ind w:firstLine="720"/>
        <w:rPr>
          <w:rFonts w:ascii="Times New Roman" w:hAnsi="Times New Roman" w:cs="Times New Roman"/>
          <w:sz w:val="24"/>
        </w:rPr>
      </w:pPr>
      <w:r>
        <w:rPr>
          <w:rFonts w:hint="eastAsia" w:ascii="Times New Roman" w:hAnsi="Times New Roman" w:cs="Times New Roman"/>
          <w:sz w:val="24"/>
        </w:rPr>
        <w:t xml:space="preserve">So we calculate PI by </w:t>
      </w:r>
      <w:r>
        <w:rPr>
          <w:rFonts w:ascii="Times New Roman" w:hAnsi="Times New Roman" w:cs="Times New Roman"/>
          <w:sz w:val="24"/>
        </w:rPr>
        <w:t>“</w:t>
      </w:r>
      <w:r>
        <w:rPr>
          <w:rFonts w:hint="eastAsia" w:ascii="Times New Roman" w:hAnsi="Times New Roman" w:cs="Times New Roman"/>
          <w:sz w:val="24"/>
        </w:rPr>
        <w:t>=(-C64+C66)/(-C64)</w:t>
      </w:r>
      <w:r>
        <w:rPr>
          <w:rFonts w:ascii="Times New Roman" w:hAnsi="Times New Roman" w:cs="Times New Roman"/>
          <w:sz w:val="24"/>
        </w:rPr>
        <w:t>”</w:t>
      </w:r>
      <w:r>
        <w:rPr>
          <w:rFonts w:hint="eastAsia" w:ascii="Times New Roman" w:hAnsi="Times New Roman" w:cs="Times New Roman"/>
          <w:sz w:val="24"/>
        </w:rPr>
        <w:t xml:space="preserve">, and the result is </w:t>
      </w:r>
      <w:r>
        <w:rPr>
          <w:rFonts w:hint="eastAsia" w:ascii="Times New Roman" w:hAnsi="Times New Roman" w:cs="Times New Roman"/>
          <w:b/>
          <w:bCs/>
          <w:sz w:val="24"/>
        </w:rPr>
        <w:t>0.97</w:t>
      </w:r>
      <w:r>
        <w:rPr>
          <w:rFonts w:hint="eastAsia" w:ascii="Times New Roman" w:hAnsi="Times New Roman" w:cs="Times New Roman"/>
          <w:sz w:val="24"/>
        </w:rPr>
        <w:t xml:space="preserve">, which is less than 1. This also indicates that the project </w:t>
      </w:r>
      <w:r>
        <w:rPr>
          <w:rFonts w:ascii="Times New Roman" w:hAnsi="Times New Roman" w:cs="Times New Roman"/>
          <w:sz w:val="24"/>
        </w:rPr>
        <w:t>cannot</w:t>
      </w:r>
      <w:r>
        <w:rPr>
          <w:rFonts w:hint="eastAsia" w:ascii="Times New Roman" w:hAnsi="Times New Roman" w:cs="Times New Roman"/>
          <w:sz w:val="24"/>
        </w:rPr>
        <w:t xml:space="preserve"> make money.</w:t>
      </w:r>
    </w:p>
    <w:p w14:paraId="74B1BF4D">
      <w:pPr>
        <w:spacing w:after="0" w:line="480" w:lineRule="auto"/>
        <w:rPr>
          <w:rFonts w:ascii="Times New Roman" w:hAnsi="Times New Roman" w:cs="Times New Roman"/>
          <w:b/>
          <w:bCs/>
          <w:sz w:val="24"/>
        </w:rPr>
      </w:pPr>
      <w:r>
        <w:rPr>
          <w:rFonts w:ascii="Times New Roman" w:hAnsi="Times New Roman" w:cs="Times New Roman"/>
          <w:b/>
          <w:bCs/>
          <w:sz w:val="24"/>
        </w:rPr>
        <w:t>Conclusion</w:t>
      </w:r>
    </w:p>
    <w:p w14:paraId="6204F005">
      <w:pPr>
        <w:spacing w:after="0" w:line="480" w:lineRule="auto"/>
        <w:ind w:firstLine="720"/>
        <w:rPr>
          <w:rFonts w:ascii="Times New Roman" w:hAnsi="Times New Roman" w:cs="Times New Roman"/>
          <w:sz w:val="24"/>
        </w:rPr>
      </w:pPr>
      <w:r>
        <w:rPr>
          <w:rFonts w:ascii="Times New Roman" w:hAnsi="Times New Roman" w:cs="Times New Roman"/>
          <w:sz w:val="24"/>
        </w:rPr>
        <w:t>Based on the analysis of relevant cash flows and key financial metrics (NPV, IRR, Payback Period, Discounted Payback Period, and Profitability Index), I would advise Antonio against pursuing the Hola-Kola project. The project shows negative financial outcomes across all critical evaluation metrics, signaling that it would result in a loss for Bebida Sol.</w:t>
      </w:r>
    </w:p>
    <w:p w14:paraId="363CCD56">
      <w:pPr>
        <w:spacing w:after="0" w:line="480" w:lineRule="auto"/>
        <w:ind w:firstLine="720"/>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22"/>
    <w:rsid w:val="00004059"/>
    <w:rsid w:val="000044FD"/>
    <w:rsid w:val="0004566D"/>
    <w:rsid w:val="00061C54"/>
    <w:rsid w:val="000636D0"/>
    <w:rsid w:val="00076B1D"/>
    <w:rsid w:val="001A19EE"/>
    <w:rsid w:val="001F6F60"/>
    <w:rsid w:val="0022161A"/>
    <w:rsid w:val="002465ED"/>
    <w:rsid w:val="00247F2E"/>
    <w:rsid w:val="002D1A59"/>
    <w:rsid w:val="003531EA"/>
    <w:rsid w:val="003B03F3"/>
    <w:rsid w:val="003E0F97"/>
    <w:rsid w:val="003F047F"/>
    <w:rsid w:val="003F722D"/>
    <w:rsid w:val="0048773D"/>
    <w:rsid w:val="005855FD"/>
    <w:rsid w:val="0059581C"/>
    <w:rsid w:val="005B4295"/>
    <w:rsid w:val="005D4225"/>
    <w:rsid w:val="005D6674"/>
    <w:rsid w:val="005D76A7"/>
    <w:rsid w:val="005F735F"/>
    <w:rsid w:val="0060573A"/>
    <w:rsid w:val="006C6574"/>
    <w:rsid w:val="006E5ABA"/>
    <w:rsid w:val="007F18CA"/>
    <w:rsid w:val="007F26F8"/>
    <w:rsid w:val="00836BE4"/>
    <w:rsid w:val="008764DA"/>
    <w:rsid w:val="008C7E5C"/>
    <w:rsid w:val="008F3E5E"/>
    <w:rsid w:val="009C62F6"/>
    <w:rsid w:val="00A040D3"/>
    <w:rsid w:val="00A44DF8"/>
    <w:rsid w:val="00A4687A"/>
    <w:rsid w:val="00A8086C"/>
    <w:rsid w:val="00AB3902"/>
    <w:rsid w:val="00AB3AB2"/>
    <w:rsid w:val="00AC6176"/>
    <w:rsid w:val="00B3092F"/>
    <w:rsid w:val="00B45661"/>
    <w:rsid w:val="00B56672"/>
    <w:rsid w:val="00BA76FD"/>
    <w:rsid w:val="00BA7D38"/>
    <w:rsid w:val="00C756B8"/>
    <w:rsid w:val="00C977FF"/>
    <w:rsid w:val="00CB6F02"/>
    <w:rsid w:val="00CC793B"/>
    <w:rsid w:val="00CE0CCC"/>
    <w:rsid w:val="00D54322"/>
    <w:rsid w:val="00D8567E"/>
    <w:rsid w:val="00DA345F"/>
    <w:rsid w:val="00E03E1D"/>
    <w:rsid w:val="00E6564E"/>
    <w:rsid w:val="00E90741"/>
    <w:rsid w:val="00EA3F87"/>
    <w:rsid w:val="00ED2FFB"/>
    <w:rsid w:val="00F26498"/>
    <w:rsid w:val="00FA3D77"/>
    <w:rsid w:val="00FE4FDF"/>
    <w:rsid w:val="00FF3FF7"/>
    <w:rsid w:val="0F83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spacing w:line="240" w:lineRule="auto"/>
    </w:pPr>
    <w:rPr>
      <w:sz w:val="18"/>
      <w:szCs w:val="18"/>
    </w:rPr>
  </w:style>
  <w:style w:type="paragraph" w:styleId="12">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rPr>
      <w:rFonts w:ascii="Times New Roman" w:hAnsi="Times New Roman" w:cs="Times New Roman"/>
      <w:sz w:val="24"/>
    </w:rPr>
  </w:style>
  <w:style w:type="paragraph" w:styleId="15">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uiPriority w:val="9"/>
    <w:rPr>
      <w:rFonts w:cstheme="majorBidi"/>
      <w:color w:val="104862" w:themeColor="accent1" w:themeShade="BF"/>
      <w:sz w:val="28"/>
      <w:szCs w:val="28"/>
    </w:rPr>
  </w:style>
  <w:style w:type="character" w:customStyle="1" w:styleId="22">
    <w:name w:val="标题 5 字符"/>
    <w:basedOn w:val="17"/>
    <w:link w:val="6"/>
    <w:semiHidden/>
    <w:uiPriority w:val="9"/>
    <w:rPr>
      <w:rFonts w:cstheme="majorBidi"/>
      <w:color w:val="104862" w:themeColor="accent1" w:themeShade="BF"/>
      <w:sz w:val="24"/>
    </w:rPr>
  </w:style>
  <w:style w:type="character" w:customStyle="1" w:styleId="23">
    <w:name w:val="标题 6 字符"/>
    <w:basedOn w:val="17"/>
    <w:link w:val="7"/>
    <w:semiHidden/>
    <w:uiPriority w:val="9"/>
    <w:rPr>
      <w:rFonts w:cstheme="majorBidi"/>
      <w:b/>
      <w:bCs/>
      <w:color w:val="104862" w:themeColor="accent1" w:themeShade="BF"/>
    </w:rPr>
  </w:style>
  <w:style w:type="character" w:customStyle="1" w:styleId="24">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styleId="36">
    <w:name w:val="Placeholder Text"/>
    <w:basedOn w:val="17"/>
    <w:semiHidden/>
    <w:uiPriority w:val="99"/>
    <w:rPr>
      <w:color w:val="666666"/>
    </w:rPr>
  </w:style>
  <w:style w:type="character" w:customStyle="1" w:styleId="37">
    <w:name w:val="页眉 字符"/>
    <w:basedOn w:val="17"/>
    <w:link w:val="12"/>
    <w:uiPriority w:val="99"/>
    <w:rPr>
      <w:sz w:val="18"/>
      <w:szCs w:val="18"/>
    </w:rPr>
  </w:style>
  <w:style w:type="character" w:customStyle="1" w:styleId="38">
    <w:name w:val="页脚 字符"/>
    <w:basedOn w:val="17"/>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C160E-84BE-41DA-9227-9E3581225D38}">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665</Words>
  <Characters>3503</Characters>
  <Lines>37</Lines>
  <Paragraphs>10</Paragraphs>
  <TotalTime>4</TotalTime>
  <ScaleCrop>false</ScaleCrop>
  <LinksUpToDate>false</LinksUpToDate>
  <CharactersWithSpaces>4107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2024-12-09T03:56:00Z</dcterms:created>
  <dc:creator>云飞 张</dc:creator>
  <cp:lastModifiedBy>咕咕咕</cp:lastModifiedBy>
  <cp:lastPrinted>2024-12-09T03:53:00Z</cp:lastPrinted>
  <dcterms:modified xsi:type="dcterms:W3CDTF">2024-12-09T04:01:23Z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802A6AB35E65479C86137D7FD07D1563_13</vt:lpwstr>
  </property>
</Properties>
</file>