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BADF" w14:textId="77777777" w:rsidR="007E64DC" w:rsidRPr="002B55AC" w:rsidRDefault="007E64DC" w:rsidP="007E64DC">
      <w:pPr>
        <w:spacing w:line="360" w:lineRule="auto"/>
        <w:jc w:val="center"/>
        <w:rPr>
          <w:rFonts w:eastAsia="Malgun Gothic"/>
          <w:b/>
          <w:bCs/>
          <w:color w:val="000000" w:themeColor="text1"/>
          <w:sz w:val="26"/>
          <w:szCs w:val="26"/>
          <w:lang w:val="en-US"/>
        </w:rPr>
      </w:pPr>
      <w:r w:rsidRPr="002B55AC">
        <w:rPr>
          <w:rFonts w:eastAsia="Malgun Gothic"/>
          <w:b/>
          <w:bCs/>
          <w:color w:val="000000" w:themeColor="text1"/>
          <w:sz w:val="26"/>
          <w:szCs w:val="26"/>
          <w:lang w:val="en-US"/>
        </w:rPr>
        <w:t>Case Assignment Questions</w:t>
      </w:r>
    </w:p>
    <w:p w14:paraId="2D1EB98E" w14:textId="77777777" w:rsidR="007E64DC" w:rsidRPr="002B55AC" w:rsidRDefault="007E64DC" w:rsidP="007E64DC">
      <w:pPr>
        <w:spacing w:line="360" w:lineRule="auto"/>
        <w:jc w:val="center"/>
        <w:rPr>
          <w:rFonts w:eastAsia="Malgun Gothic"/>
          <w:b/>
          <w:bCs/>
          <w:color w:val="000000" w:themeColor="text1"/>
          <w:sz w:val="26"/>
          <w:szCs w:val="26"/>
          <w:lang w:val="en-US"/>
        </w:rPr>
      </w:pPr>
      <w:r w:rsidRPr="002B55AC">
        <w:rPr>
          <w:rFonts w:eastAsia="Malgun Gothic"/>
          <w:b/>
          <w:bCs/>
          <w:color w:val="000000" w:themeColor="text1"/>
          <w:sz w:val="26"/>
          <w:szCs w:val="26"/>
          <w:lang w:val="en-US"/>
        </w:rPr>
        <w:t>FIN 535: Mergers and Acquisitions</w:t>
      </w:r>
    </w:p>
    <w:p w14:paraId="0EC14D70" w14:textId="77777777" w:rsidR="007E64DC" w:rsidRPr="002B55AC" w:rsidRDefault="007E64DC" w:rsidP="007E64DC">
      <w:pPr>
        <w:spacing w:line="360" w:lineRule="auto"/>
        <w:jc w:val="center"/>
        <w:rPr>
          <w:rFonts w:eastAsia="Malgun Gothic"/>
          <w:b/>
          <w:bCs/>
          <w:color w:val="000000" w:themeColor="text1"/>
          <w:sz w:val="26"/>
          <w:szCs w:val="26"/>
          <w:lang w:val="en-US"/>
        </w:rPr>
      </w:pPr>
      <w:r w:rsidRPr="002B55AC">
        <w:rPr>
          <w:rFonts w:eastAsia="Malgun Gothic"/>
          <w:b/>
          <w:bCs/>
          <w:color w:val="000000" w:themeColor="text1"/>
          <w:sz w:val="26"/>
          <w:szCs w:val="26"/>
          <w:lang w:val="en-US"/>
        </w:rPr>
        <w:t>Peking University HSBC Business School</w:t>
      </w:r>
    </w:p>
    <w:p w14:paraId="28C474CA" w14:textId="77777777" w:rsidR="007E64DC" w:rsidRPr="002B55AC" w:rsidRDefault="007E64DC" w:rsidP="007E64DC">
      <w:pPr>
        <w:spacing w:line="360" w:lineRule="auto"/>
        <w:jc w:val="center"/>
        <w:rPr>
          <w:rFonts w:eastAsia="Malgun Gothic"/>
          <w:b/>
          <w:bCs/>
          <w:color w:val="000000" w:themeColor="text1"/>
          <w:sz w:val="26"/>
          <w:szCs w:val="26"/>
          <w:lang w:val="en-US"/>
        </w:rPr>
      </w:pPr>
      <w:r w:rsidRPr="002B55AC">
        <w:rPr>
          <w:rFonts w:eastAsia="Malgun Gothic"/>
          <w:b/>
          <w:bCs/>
          <w:color w:val="000000" w:themeColor="text1"/>
          <w:sz w:val="26"/>
          <w:szCs w:val="26"/>
          <w:lang w:val="en-US"/>
        </w:rPr>
        <w:t>Case Study: H.J. Heinz M&amp;A</w:t>
      </w:r>
    </w:p>
    <w:p w14:paraId="13C13E94" w14:textId="77777777" w:rsidR="007E64DC" w:rsidRPr="002B55AC" w:rsidRDefault="007E64DC" w:rsidP="007E64DC">
      <w:pPr>
        <w:spacing w:line="360" w:lineRule="auto"/>
        <w:jc w:val="center"/>
        <w:rPr>
          <w:rFonts w:eastAsia="Malgun Gothic"/>
          <w:b/>
          <w:bCs/>
          <w:color w:val="000000" w:themeColor="text1"/>
          <w:sz w:val="26"/>
          <w:szCs w:val="26"/>
          <w:lang w:val="en-US"/>
        </w:rPr>
      </w:pPr>
      <w:r w:rsidRPr="002B55AC">
        <w:rPr>
          <w:rFonts w:eastAsia="Malgun Gothic"/>
          <w:b/>
          <w:bCs/>
          <w:color w:val="000000" w:themeColor="text1"/>
          <w:sz w:val="26"/>
          <w:szCs w:val="26"/>
          <w:lang w:val="en-US"/>
        </w:rPr>
        <w:t>Due on: Thursday, June 5th, 2025</w:t>
      </w:r>
    </w:p>
    <w:p w14:paraId="778A7B65" w14:textId="77777777" w:rsidR="007E64DC" w:rsidRPr="007E64DC" w:rsidRDefault="007E64DC" w:rsidP="00110933">
      <w:pPr>
        <w:spacing w:line="360" w:lineRule="auto"/>
        <w:jc w:val="both"/>
        <w:rPr>
          <w:rFonts w:eastAsia="KaiTi"/>
          <w:b/>
          <w:bCs/>
          <w:i/>
          <w:iCs/>
          <w:color w:val="000000" w:themeColor="text1"/>
          <w:lang w:val="en-US"/>
        </w:rPr>
      </w:pPr>
      <w:r w:rsidRPr="007E64DC">
        <w:rPr>
          <w:rFonts w:eastAsia="KaiTi"/>
          <w:b/>
          <w:bCs/>
          <w:i/>
          <w:iCs/>
          <w:color w:val="000000" w:themeColor="text1"/>
          <w:lang w:val="en-US"/>
        </w:rPr>
        <w:t xml:space="preserve">Question 1. </w:t>
      </w:r>
      <w:r w:rsidRPr="007E64DC">
        <w:rPr>
          <w:rFonts w:eastAsia="KaiTi"/>
          <w:color w:val="000000" w:themeColor="text1"/>
          <w:lang w:val="en-US"/>
        </w:rPr>
        <w:t>Discuss the positions of various stakeholders, including Heinz shareholders, management, employees, and citizens of Pittsburgh.</w:t>
      </w:r>
    </w:p>
    <w:p w14:paraId="16ACC469" w14:textId="77777777" w:rsidR="007E64DC" w:rsidRPr="007E64DC" w:rsidRDefault="007E64DC" w:rsidP="007E64DC">
      <w:pPr>
        <w:spacing w:line="360" w:lineRule="auto"/>
        <w:rPr>
          <w:rFonts w:eastAsia="KaiTi"/>
          <w:color w:val="000000" w:themeColor="text1"/>
          <w:lang w:val="en-US"/>
        </w:rPr>
      </w:pPr>
      <w:r w:rsidRPr="007E64DC">
        <w:rPr>
          <w:rFonts w:eastAsia="KaiTi"/>
          <w:b/>
          <w:bCs/>
          <w:i/>
          <w:iCs/>
          <w:color w:val="000000" w:themeColor="text1"/>
          <w:lang w:val="en-US"/>
        </w:rPr>
        <w:t>Answer:</w:t>
      </w:r>
      <w:r w:rsidRPr="007E64DC">
        <w:rPr>
          <w:rFonts w:eastAsia="KaiTi"/>
          <w:color w:val="000000" w:themeColor="text1"/>
          <w:lang w:val="en-US"/>
        </w:rPr>
        <w:t xml:space="preserve"> </w:t>
      </w:r>
    </w:p>
    <w:p w14:paraId="7CF7A737" w14:textId="77777777" w:rsidR="007E64DC" w:rsidRPr="007E64DC" w:rsidRDefault="007E64DC" w:rsidP="007E64DC">
      <w:pPr>
        <w:spacing w:line="360" w:lineRule="auto"/>
        <w:rPr>
          <w:rFonts w:eastAsia="KaiTi"/>
          <w:i/>
          <w:iCs/>
          <w:color w:val="000000" w:themeColor="text1"/>
          <w:u w:val="single"/>
          <w:lang w:val="en-US"/>
        </w:rPr>
      </w:pPr>
      <w:r w:rsidRPr="007E64DC">
        <w:rPr>
          <w:rFonts w:eastAsia="KaiTi"/>
          <w:i/>
          <w:iCs/>
          <w:color w:val="000000" w:themeColor="text1"/>
          <w:u w:val="single"/>
          <w:lang w:val="en-US"/>
        </w:rPr>
        <w:t>1. Positions of stakeholders</w:t>
      </w:r>
    </w:p>
    <w:p w14:paraId="43D6D63A" w14:textId="77777777" w:rsidR="007E64DC" w:rsidRPr="007E64DC" w:rsidRDefault="007E64DC" w:rsidP="002B55AC">
      <w:pPr>
        <w:spacing w:line="360" w:lineRule="auto"/>
        <w:ind w:firstLine="420"/>
        <w:jc w:val="both"/>
        <w:rPr>
          <w:rFonts w:eastAsia="KaiTi"/>
          <w:color w:val="000000" w:themeColor="text1"/>
          <w:lang w:val="en-US"/>
        </w:rPr>
      </w:pPr>
      <w:r w:rsidRPr="007E64DC">
        <w:rPr>
          <w:rFonts w:eastAsia="KaiTi"/>
          <w:color w:val="000000" w:themeColor="text1"/>
          <w:lang w:val="en-US"/>
        </w:rPr>
        <w:t xml:space="preserve">From a shareholder perspective, the acquisition deal was largely favorable. The offer price of $72.50 per share represented a 20% premium over Heinz’s stock price the day before the announcement and approximately a 30% premium over the fair value estimate of $56 provided by analysts such as Morningstar. </w:t>
      </w:r>
      <w:r w:rsidRPr="00C548F6">
        <w:rPr>
          <w:rFonts w:eastAsia="KaiTi"/>
          <w:color w:val="FF0000"/>
          <w:lang w:val="en-US"/>
        </w:rPr>
        <w:t xml:space="preserve">The deal provided an exit for shareholders after years of pressure, notably from activist investor Nelson Peltz (Trian Fund) starting in 2006. </w:t>
      </w:r>
      <w:r w:rsidRPr="007E64DC">
        <w:rPr>
          <w:rFonts w:eastAsia="KaiTi"/>
          <w:color w:val="000000" w:themeColor="text1"/>
          <w:lang w:val="en-US"/>
        </w:rPr>
        <w:t xml:space="preserve">Peltz had demanded strategic changes, including a potential sale, due to poor performance. The acquisition delivered on this demand at a high price. Besides, equity analysts widely endorsed the transaction, emphasizing the generous valuation and the credibility of the buyers. The nearly unanimous shareholder approval on March 30, 2013, confirmed this enthusiasm. </w:t>
      </w:r>
      <w:r w:rsidRPr="00141DCD">
        <w:rPr>
          <w:rFonts w:eastAsia="KaiTi"/>
          <w:color w:val="FF0000"/>
          <w:lang w:val="en-US"/>
        </w:rPr>
        <w:t>In addition, shareholders benefitted from strong financial protections, including a $1.4 billion reverse termination fee payable by the buyers if the deal fell through.</w:t>
      </w:r>
    </w:p>
    <w:p w14:paraId="23E5429E" w14:textId="77777777" w:rsidR="007E64DC" w:rsidRPr="007E64DC" w:rsidRDefault="007E64DC" w:rsidP="007E64DC">
      <w:pPr>
        <w:spacing w:line="360" w:lineRule="auto"/>
        <w:rPr>
          <w:rFonts w:eastAsia="KaiTi"/>
          <w:i/>
          <w:iCs/>
          <w:color w:val="000000" w:themeColor="text1"/>
          <w:u w:val="single"/>
          <w:lang w:val="en-US"/>
        </w:rPr>
      </w:pPr>
      <w:r w:rsidRPr="007E64DC">
        <w:rPr>
          <w:rFonts w:eastAsia="KaiTi"/>
          <w:i/>
          <w:iCs/>
          <w:color w:val="000000" w:themeColor="text1"/>
          <w:u w:val="single"/>
          <w:lang w:val="en-US"/>
        </w:rPr>
        <w:t>2. Heinz Management</w:t>
      </w:r>
    </w:p>
    <w:p w14:paraId="2D396F2E" w14:textId="77777777" w:rsidR="007E64DC" w:rsidRPr="007E64DC" w:rsidRDefault="007E64DC" w:rsidP="002B55AC">
      <w:pPr>
        <w:spacing w:line="360" w:lineRule="auto"/>
        <w:ind w:firstLine="420"/>
        <w:jc w:val="both"/>
        <w:rPr>
          <w:rFonts w:eastAsia="KaiTi"/>
          <w:color w:val="000000" w:themeColor="text1"/>
          <w:lang w:val="en-US"/>
        </w:rPr>
      </w:pPr>
      <w:r w:rsidRPr="007E64DC">
        <w:rPr>
          <w:rFonts w:eastAsia="KaiTi"/>
          <w:color w:val="000000" w:themeColor="text1"/>
          <w:lang w:val="en-US"/>
        </w:rPr>
        <w:t>Management, led by CEO William Johnson, executed a calculated transition from resistance to endorsement. Despite initially declaring Heinz "not for sale" on January 10, 2013, Johnson leveraged the board’s advisors to force a 3.6% price increase ($70→$72.50/share) within two weeks—securing an additional $800M in shareholder value. His cooperation ensured board approval while extracting a public commitment to retain Pittsburgh operations, mitigating community backlash. However, Johnson’s 31-year tenure (13 as CEO) ended abruptly as 3G installed Bernardo Hees, signaling management’s ultimate sacrifice: prioritizing immediate shareholder returns over continuity. This reflects a fiduciary victory—maximizing exit value—while accepting personal displacement, acknowledging Heinz’s limited growth runway under existing leadership. Johnson’s legacy became facilitating a premium exit rather than long-term stewardship.</w:t>
      </w:r>
    </w:p>
    <w:p w14:paraId="0F6B1201" w14:textId="77777777" w:rsidR="007E64DC" w:rsidRPr="002B55AC" w:rsidRDefault="007E64DC" w:rsidP="007E64DC">
      <w:pPr>
        <w:spacing w:line="360" w:lineRule="auto"/>
        <w:rPr>
          <w:rFonts w:eastAsia="KaiTi"/>
          <w:i/>
          <w:iCs/>
          <w:color w:val="000000" w:themeColor="text1"/>
          <w:u w:val="single"/>
          <w:lang w:val="en-US"/>
        </w:rPr>
      </w:pPr>
      <w:r w:rsidRPr="002B55AC">
        <w:rPr>
          <w:rFonts w:eastAsia="KaiTi"/>
          <w:i/>
          <w:iCs/>
          <w:color w:val="000000" w:themeColor="text1"/>
          <w:u w:val="single"/>
          <w:lang w:val="en-US"/>
        </w:rPr>
        <w:t>3. Heinz Employees</w:t>
      </w:r>
    </w:p>
    <w:p w14:paraId="199E5F1F" w14:textId="77777777" w:rsidR="007E64DC" w:rsidRPr="007E64DC" w:rsidRDefault="007E64DC" w:rsidP="002B55AC">
      <w:pPr>
        <w:spacing w:line="360" w:lineRule="auto"/>
        <w:ind w:firstLine="420"/>
        <w:jc w:val="both"/>
        <w:rPr>
          <w:rFonts w:eastAsia="KaiTi"/>
          <w:color w:val="000000" w:themeColor="text1"/>
          <w:lang w:val="en-US"/>
        </w:rPr>
      </w:pPr>
      <w:r w:rsidRPr="007E64DC">
        <w:rPr>
          <w:rFonts w:eastAsia="KaiTi"/>
          <w:color w:val="000000" w:themeColor="text1"/>
          <w:lang w:val="en-US"/>
        </w:rPr>
        <w:t xml:space="preserve">The position of Heinz employees was highly uncertain and likely negative, marked by significant anxiety over potential job losses. This stemmed from several factors: First, Heinz's 2006 restructuring under activist pressure eliminated 2,700+ jobs and closed 15 factories, setting a concerning precedent. </w:t>
      </w:r>
      <w:r w:rsidRPr="007E64DC">
        <w:rPr>
          <w:rFonts w:eastAsia="KaiTi"/>
          <w:color w:val="000000" w:themeColor="text1"/>
          <w:lang w:val="en-US"/>
        </w:rPr>
        <w:lastRenderedPageBreak/>
        <w:t>Second, acquirer 3G Capital had a well-known reputation for aggressive cost-cutting in portfolio companies like Burger King – aligning with their stated goal of "realizing operational efficiencies" at Heinz. Third, while buyers and management claimed "virtually zero synergies" and promised independence, employees and analysts were deeply skeptical, understanding efficiency drives often mean workforce reductions. Finally, no commitments were made regarding job security or plant closures, leaving employees vulnerable despite the Pittsburgh HQ guarantee.</w:t>
      </w:r>
    </w:p>
    <w:p w14:paraId="6BB3E8EC" w14:textId="77777777" w:rsidR="007E64DC" w:rsidRPr="007E64DC" w:rsidRDefault="007E64DC" w:rsidP="007E64DC">
      <w:pPr>
        <w:spacing w:line="360" w:lineRule="auto"/>
        <w:rPr>
          <w:rFonts w:eastAsia="KaiTi"/>
          <w:i/>
          <w:iCs/>
          <w:color w:val="000000" w:themeColor="text1"/>
          <w:u w:val="single"/>
          <w:lang w:val="en-US"/>
        </w:rPr>
      </w:pPr>
      <w:r w:rsidRPr="007E64DC">
        <w:rPr>
          <w:rFonts w:eastAsia="KaiTi"/>
          <w:i/>
          <w:iCs/>
          <w:color w:val="000000" w:themeColor="text1"/>
          <w:u w:val="single"/>
          <w:lang w:val="en-US"/>
        </w:rPr>
        <w:t>4. Citizens of Pittsburgh</w:t>
      </w:r>
    </w:p>
    <w:p w14:paraId="6FFB9C91" w14:textId="77777777" w:rsidR="007E64DC" w:rsidRPr="007E64DC" w:rsidRDefault="007E64DC" w:rsidP="002B55AC">
      <w:pPr>
        <w:spacing w:line="360" w:lineRule="auto"/>
        <w:ind w:firstLine="420"/>
        <w:jc w:val="both"/>
        <w:rPr>
          <w:rFonts w:eastAsia="KaiTi"/>
          <w:color w:val="000000" w:themeColor="text1"/>
          <w:lang w:val="en-US"/>
        </w:rPr>
      </w:pPr>
      <w:r w:rsidRPr="007E64DC">
        <w:rPr>
          <w:rFonts w:eastAsia="KaiTi"/>
          <w:color w:val="000000" w:themeColor="text1"/>
          <w:lang w:val="en-US"/>
        </w:rPr>
        <w:t>For the city of Pittsburgh, where Heinz had been headquartered since 1900, the acquisition triggered concerns about local economic and cultural impacts. The Heinz brand was deeply intertwined with Pittsburgh’s identity, from the company’s founding roots to the naming rights of Heinz Field, home of the Pittsburgh Steelers. To mitigate public backlash, CEO Johnson explicitly vowed to maintain operations in Pittsburgh during negotiations, addressing civic anxieties about economic fallout and preserving the Heinz legacy (e.g., naming rights to Heinz Field stadium). Nevertheless, latent risks persisted—potential job cuts or scaled-back community engagement under 3G’s efficiency-focused model threatened local economic stability.</w:t>
      </w:r>
    </w:p>
    <w:p w14:paraId="22B26A2D" w14:textId="77777777" w:rsidR="007E64DC" w:rsidRDefault="007E64DC" w:rsidP="007E64DC">
      <w:pPr>
        <w:rPr>
          <w:rFonts w:eastAsia="KaiTi"/>
          <w:color w:val="000000" w:themeColor="text1"/>
          <w:lang w:val="en-US"/>
        </w:rPr>
      </w:pPr>
      <w:r w:rsidRPr="007E64DC">
        <w:rPr>
          <w:rFonts w:eastAsia="KaiTi"/>
          <w:color w:val="000000" w:themeColor="text1"/>
          <w:lang w:val="en-US"/>
        </w:rPr>
        <w:br w:type="page"/>
      </w:r>
    </w:p>
    <w:p w14:paraId="31A011CC" w14:textId="77777777" w:rsidR="007E64DC" w:rsidRPr="007E64DC" w:rsidRDefault="007E64DC" w:rsidP="002B536F">
      <w:pPr>
        <w:spacing w:line="360" w:lineRule="auto"/>
        <w:jc w:val="both"/>
        <w:rPr>
          <w:rFonts w:eastAsia="KaiTi"/>
          <w:color w:val="000000" w:themeColor="text1"/>
          <w:lang w:val="en-US"/>
        </w:rPr>
      </w:pPr>
      <w:r w:rsidRPr="007E64DC">
        <w:rPr>
          <w:rFonts w:eastAsia="KaiTi"/>
          <w:b/>
          <w:bCs/>
          <w:i/>
          <w:iCs/>
          <w:color w:val="000000" w:themeColor="text1"/>
          <w:lang w:val="en-US"/>
        </w:rPr>
        <w:lastRenderedPageBreak/>
        <w:t>Question 2.</w:t>
      </w:r>
      <w:r w:rsidRPr="007E64DC">
        <w:rPr>
          <w:rFonts w:eastAsia="KaiTi"/>
          <w:color w:val="000000" w:themeColor="text1"/>
          <w:lang w:val="en-US"/>
        </w:rPr>
        <w:t xml:space="preserve"> What was the acquisition premium? Was this reasonable?</w:t>
      </w:r>
    </w:p>
    <w:p w14:paraId="64D78398" w14:textId="77777777" w:rsidR="007E64DC" w:rsidRPr="007E64DC" w:rsidRDefault="007E64DC" w:rsidP="007E64DC">
      <w:pPr>
        <w:spacing w:line="360" w:lineRule="auto"/>
        <w:rPr>
          <w:rFonts w:eastAsia="KaiTi"/>
          <w:color w:val="000000" w:themeColor="text1"/>
          <w:lang w:val="en-US"/>
        </w:rPr>
      </w:pPr>
      <w:r w:rsidRPr="007E64DC">
        <w:rPr>
          <w:rFonts w:eastAsia="KaiTi"/>
          <w:b/>
          <w:bCs/>
          <w:i/>
          <w:iCs/>
          <w:color w:val="000000" w:themeColor="text1"/>
          <w:lang w:val="en-US"/>
        </w:rPr>
        <w:t>Answer:</w:t>
      </w:r>
      <w:r w:rsidRPr="007E64DC">
        <w:rPr>
          <w:rFonts w:eastAsia="KaiTi"/>
          <w:color w:val="000000" w:themeColor="text1"/>
          <w:lang w:val="en-US"/>
        </w:rPr>
        <w:t xml:space="preserve"> </w:t>
      </w:r>
    </w:p>
    <w:p w14:paraId="3AE038CF" w14:textId="5A43F6AB" w:rsidR="007E64DC" w:rsidRPr="007E64DC" w:rsidRDefault="00335E39" w:rsidP="007E64DC">
      <w:pPr>
        <w:spacing w:line="360" w:lineRule="auto"/>
        <w:rPr>
          <w:rFonts w:eastAsia="KaiTi"/>
          <w:i/>
          <w:iCs/>
          <w:color w:val="000000" w:themeColor="text1"/>
          <w:u w:val="single"/>
          <w:lang w:val="en-US"/>
        </w:rPr>
      </w:pPr>
      <w:r>
        <w:rPr>
          <w:rFonts w:eastAsia="KaiTi" w:hint="eastAsia"/>
          <w:i/>
          <w:iCs/>
          <w:color w:val="000000" w:themeColor="text1"/>
          <w:u w:val="single"/>
          <w:lang w:val="en-US"/>
        </w:rPr>
        <w:t xml:space="preserve">1. </w:t>
      </w:r>
      <w:r w:rsidR="007E64DC" w:rsidRPr="007E64DC">
        <w:rPr>
          <w:rFonts w:eastAsia="KaiTi"/>
          <w:i/>
          <w:iCs/>
          <w:color w:val="000000" w:themeColor="text1"/>
          <w:u w:val="single"/>
          <w:lang w:val="en-US"/>
        </w:rPr>
        <w:t>Acquisition Premium Calculation</w:t>
      </w:r>
    </w:p>
    <w:p w14:paraId="46F027D4" w14:textId="77777777" w:rsidR="007E64DC" w:rsidRPr="007E64DC" w:rsidRDefault="007E64DC" w:rsidP="002B55AC">
      <w:pPr>
        <w:spacing w:line="360" w:lineRule="auto"/>
        <w:ind w:firstLine="420"/>
        <w:jc w:val="both"/>
        <w:rPr>
          <w:rFonts w:eastAsia="KaiTi"/>
          <w:color w:val="000000" w:themeColor="text1"/>
          <w:lang w:val="en-US"/>
        </w:rPr>
      </w:pPr>
      <w:r w:rsidRPr="007E64DC">
        <w:rPr>
          <w:rFonts w:eastAsia="KaiTi"/>
          <w:color w:val="000000" w:themeColor="text1"/>
          <w:lang w:val="en-US"/>
        </w:rPr>
        <w:t>The acquisition premium refers to the acquisition price compared to the target company’s share price one day prior to announcement of the acquisition. The final offer price by the acquirers (3G Capital and Berkshire Hathaway) was $72.50 per share; According to Exhibit 1(HEINZ SHARE PRICE), Heinz’s closing share price one day before the announcement (February 12, 2013) was approximately $60.40. This is explicitly confirmed in the case: “Heinz’s acquisition price was approximately 20% above the company’s previous day closing share price”.</w:t>
      </w:r>
    </w:p>
    <w:p w14:paraId="0634C690" w14:textId="77777777" w:rsidR="007E64DC" w:rsidRDefault="007E64DC" w:rsidP="007E64DC">
      <w:pPr>
        <w:spacing w:line="360" w:lineRule="auto"/>
        <w:jc w:val="center"/>
        <w:rPr>
          <w:rFonts w:eastAsia="KaiTi"/>
          <w:lang w:val="en-US"/>
        </w:rPr>
      </w:pPr>
      <m:oMath>
        <m:r>
          <m:rPr>
            <m:sty m:val="p"/>
          </m:rPr>
          <w:rPr>
            <w:rFonts w:ascii="Cambria Math" w:hAnsi="Cambria Math"/>
            <w:lang w:val="en-US"/>
          </w:rPr>
          <m:t>Premium=</m:t>
        </m:r>
        <m:f>
          <m:fPr>
            <m:ctrlPr>
              <w:rPr>
                <w:rFonts w:ascii="Cambria Math" w:hAnsi="Cambria Math"/>
              </w:rPr>
            </m:ctrlPr>
          </m:fPr>
          <m:num>
            <m:r>
              <m:rPr>
                <m:sty m:val="p"/>
              </m:rPr>
              <w:rPr>
                <w:rFonts w:ascii="Cambria Math" w:hAnsi="Cambria Math"/>
                <w:lang w:val="en-US"/>
              </w:rPr>
              <m:t>$72.50-$60.40</m:t>
            </m:r>
          </m:num>
          <m:den>
            <m:r>
              <m:rPr>
                <m:sty m:val="p"/>
              </m:rPr>
              <w:rPr>
                <w:rFonts w:ascii="Cambria Math" w:hAnsi="Cambria Math"/>
                <w:lang w:val="en-US"/>
              </w:rPr>
              <m:t>$60.40</m:t>
            </m:r>
          </m:den>
        </m:f>
        <m:r>
          <m:rPr>
            <m:sty m:val="p"/>
          </m:rPr>
          <w:rPr>
            <w:rFonts w:ascii="Cambria Math" w:hAnsi="Cambria Math"/>
            <w:lang w:val="en-US"/>
          </w:rPr>
          <m:t>≈20%</m:t>
        </m:r>
      </m:oMath>
      <w:r w:rsidRPr="007E64DC">
        <w:rPr>
          <w:rFonts w:eastAsia="KaiTi"/>
          <w:lang w:val="en-US"/>
        </w:rPr>
        <w:t>.</w:t>
      </w:r>
    </w:p>
    <w:p w14:paraId="7ABD862E" w14:textId="263C9F31" w:rsidR="00335E39" w:rsidRDefault="00335E39" w:rsidP="00335E39">
      <w:pPr>
        <w:spacing w:line="360" w:lineRule="auto"/>
        <w:rPr>
          <w:rFonts w:eastAsia="KaiTi"/>
          <w:i/>
          <w:iCs/>
          <w:color w:val="000000" w:themeColor="text1"/>
          <w:u w:val="single"/>
          <w:lang w:val="en-US"/>
        </w:rPr>
      </w:pPr>
      <w:r>
        <w:rPr>
          <w:rFonts w:eastAsia="KaiTi" w:hint="eastAsia"/>
          <w:i/>
          <w:iCs/>
          <w:color w:val="000000" w:themeColor="text1"/>
          <w:u w:val="single"/>
          <w:lang w:val="en-US"/>
        </w:rPr>
        <w:t xml:space="preserve">2. </w:t>
      </w:r>
      <w:r w:rsidRPr="00335E39">
        <w:rPr>
          <w:rFonts w:eastAsia="KaiTi"/>
          <w:i/>
          <w:iCs/>
          <w:color w:val="000000" w:themeColor="text1"/>
          <w:u w:val="single"/>
          <w:lang w:val="en-US"/>
        </w:rPr>
        <w:t xml:space="preserve">Reasonable </w:t>
      </w:r>
      <w:r>
        <w:rPr>
          <w:rFonts w:eastAsia="KaiTi" w:hint="eastAsia"/>
          <w:i/>
          <w:iCs/>
          <w:color w:val="000000" w:themeColor="text1"/>
          <w:u w:val="single"/>
          <w:lang w:val="en-US"/>
        </w:rPr>
        <w:t>G</w:t>
      </w:r>
      <w:r w:rsidRPr="00335E39">
        <w:rPr>
          <w:rFonts w:eastAsia="KaiTi"/>
          <w:i/>
          <w:iCs/>
          <w:color w:val="000000" w:themeColor="text1"/>
          <w:u w:val="single"/>
          <w:lang w:val="en-US"/>
        </w:rPr>
        <w:t xml:space="preserve">rounds for </w:t>
      </w:r>
      <w:r>
        <w:rPr>
          <w:rFonts w:eastAsia="KaiTi" w:hint="eastAsia"/>
          <w:i/>
          <w:iCs/>
          <w:color w:val="000000" w:themeColor="text1"/>
          <w:u w:val="single"/>
          <w:lang w:val="en-US"/>
        </w:rPr>
        <w:t>A</w:t>
      </w:r>
      <w:r w:rsidRPr="00335E39">
        <w:rPr>
          <w:rFonts w:eastAsia="KaiTi"/>
          <w:i/>
          <w:iCs/>
          <w:color w:val="000000" w:themeColor="text1"/>
          <w:u w:val="single"/>
          <w:lang w:val="en-US"/>
        </w:rPr>
        <w:t xml:space="preserve">cquisition </w:t>
      </w:r>
      <w:r>
        <w:rPr>
          <w:rFonts w:eastAsia="KaiTi" w:hint="eastAsia"/>
          <w:i/>
          <w:iCs/>
          <w:color w:val="000000" w:themeColor="text1"/>
          <w:u w:val="single"/>
          <w:lang w:val="en-US"/>
        </w:rPr>
        <w:t>P</w:t>
      </w:r>
      <w:r w:rsidRPr="00335E39">
        <w:rPr>
          <w:rFonts w:eastAsia="KaiTi"/>
          <w:i/>
          <w:iCs/>
          <w:color w:val="000000" w:themeColor="text1"/>
          <w:u w:val="single"/>
          <w:lang w:val="en-US"/>
        </w:rPr>
        <w:t>remium</w:t>
      </w:r>
    </w:p>
    <w:p w14:paraId="31B22DEC" w14:textId="22585068" w:rsidR="007E64DC" w:rsidRPr="007E64DC" w:rsidRDefault="007E64DC" w:rsidP="00335E39">
      <w:pPr>
        <w:spacing w:line="360" w:lineRule="auto"/>
        <w:ind w:firstLine="420"/>
        <w:rPr>
          <w:rFonts w:eastAsia="KaiTi"/>
          <w:color w:val="000000" w:themeColor="text1"/>
          <w:lang w:val="en-US"/>
        </w:rPr>
      </w:pPr>
      <w:r w:rsidRPr="007E64DC">
        <w:rPr>
          <w:rFonts w:eastAsia="KaiTi"/>
          <w:color w:val="000000" w:themeColor="text1"/>
          <w:lang w:val="en-US"/>
        </w:rPr>
        <w:t xml:space="preserve">The 20% </w:t>
      </w:r>
      <w:r w:rsidR="00C72160" w:rsidRPr="007E64DC">
        <w:rPr>
          <w:rFonts w:eastAsia="KaiTi"/>
          <w:color w:val="000000" w:themeColor="text1"/>
          <w:lang w:val="en-US"/>
        </w:rPr>
        <w:t xml:space="preserve">acquisition </w:t>
      </w:r>
      <w:r w:rsidRPr="007E64DC">
        <w:rPr>
          <w:rFonts w:eastAsia="KaiTi"/>
          <w:color w:val="000000" w:themeColor="text1"/>
          <w:lang w:val="en-US"/>
        </w:rPr>
        <w:t>premium was reasonable based on multiple factors outlined in the case:</w:t>
      </w:r>
    </w:p>
    <w:p w14:paraId="1B9885A3" w14:textId="77777777" w:rsidR="007E64DC" w:rsidRPr="007E64DC" w:rsidRDefault="007E64DC" w:rsidP="007E64DC">
      <w:pPr>
        <w:pStyle w:val="ListParagraph"/>
        <w:widowControl w:val="0"/>
        <w:numPr>
          <w:ilvl w:val="0"/>
          <w:numId w:val="11"/>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Industry Conditions &amp; Growth Potential:</w:t>
      </w:r>
      <w:r w:rsidRPr="007E64DC">
        <w:rPr>
          <w:rFonts w:ascii="Times New Roman" w:eastAsia="KaiTi" w:hAnsi="Times New Roman" w:cs="Times New Roman"/>
          <w:color w:val="000000" w:themeColor="text1"/>
          <w:lang w:val="en-US"/>
        </w:rPr>
        <w:t xml:space="preserve"> The food industry was mature, but Heinz had significant growth opportunities in emerging markets. The acquirer was willing to pay a premium for its future earnings to achieve investment strategy and value-added expectations.</w:t>
      </w:r>
    </w:p>
    <w:p w14:paraId="454B7BF5" w14:textId="77777777" w:rsidR="007E64DC" w:rsidRPr="007E64DC" w:rsidRDefault="007E64DC" w:rsidP="007E64DC">
      <w:pPr>
        <w:pStyle w:val="ListParagraph"/>
        <w:widowControl w:val="0"/>
        <w:numPr>
          <w:ilvl w:val="0"/>
          <w:numId w:val="11"/>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Favorable Financing Environment:</w:t>
      </w:r>
      <w:r w:rsidRPr="007E64DC">
        <w:rPr>
          <w:rFonts w:ascii="Times New Roman" w:eastAsia="KaiTi" w:hAnsi="Times New Roman" w:cs="Times New Roman"/>
          <w:color w:val="000000" w:themeColor="text1"/>
          <w:lang w:val="en-US"/>
        </w:rPr>
        <w:t xml:space="preserve"> Low interest rates (10-year Treasury yield at 1.8%) reduced borrowing costs, enabling higher leverage and justifying a higher price.</w:t>
      </w:r>
    </w:p>
    <w:p w14:paraId="7BDF3340" w14:textId="77777777" w:rsidR="007E64DC" w:rsidRPr="007E64DC" w:rsidRDefault="007E64DC" w:rsidP="007E64DC">
      <w:pPr>
        <w:pStyle w:val="ListParagraph"/>
        <w:widowControl w:val="0"/>
        <w:numPr>
          <w:ilvl w:val="0"/>
          <w:numId w:val="11"/>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Target’s Intrinsic Value:</w:t>
      </w:r>
      <w:r w:rsidRPr="007E64DC">
        <w:rPr>
          <w:rFonts w:ascii="Times New Roman" w:eastAsia="KaiTi" w:hAnsi="Times New Roman" w:cs="Times New Roman"/>
          <w:color w:val="000000" w:themeColor="text1"/>
          <w:lang w:val="en-US"/>
        </w:rPr>
        <w:t xml:space="preserve"> Heinz was a century-old global brand with stable global distribution networks and strong cash flow (2012 EBITDA of $1.947 billion), which was in line with the preferences of the acquirer. The operational efficiency and cost optimization capabilities of 3G Capital can enhance the expected value.</w:t>
      </w:r>
    </w:p>
    <w:p w14:paraId="3CBE28DE" w14:textId="77777777" w:rsidR="007E64DC" w:rsidRPr="007E64DC" w:rsidRDefault="007E64DC" w:rsidP="007E64DC">
      <w:pPr>
        <w:pStyle w:val="ListParagraph"/>
        <w:widowControl w:val="0"/>
        <w:numPr>
          <w:ilvl w:val="0"/>
          <w:numId w:val="11"/>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Historical Precedent:</w:t>
      </w:r>
      <w:r w:rsidRPr="007E64DC">
        <w:rPr>
          <w:rFonts w:ascii="Times New Roman" w:eastAsia="KaiTi" w:hAnsi="Times New Roman" w:cs="Times New Roman"/>
          <w:color w:val="000000" w:themeColor="text1"/>
          <w:lang w:val="en-US"/>
        </w:rPr>
        <w:t xml:space="preserve"> The 20% premium fell within the typical range of historical acquisition premiums, which Figure 1 shows often clustered between 20% and 30%.</w:t>
      </w:r>
    </w:p>
    <w:p w14:paraId="6632A7FC" w14:textId="77777777" w:rsidR="007E64DC" w:rsidRPr="007E64DC" w:rsidRDefault="007E64DC" w:rsidP="007E64DC">
      <w:pPr>
        <w:pStyle w:val="ListParagraph"/>
        <w:widowControl w:val="0"/>
        <w:numPr>
          <w:ilvl w:val="0"/>
          <w:numId w:val="11"/>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Fairness Opinions &amp; Analyst’s Comments:</w:t>
      </w:r>
      <w:r w:rsidRPr="007E64DC">
        <w:rPr>
          <w:rFonts w:ascii="Times New Roman" w:eastAsia="KaiTi" w:hAnsi="Times New Roman" w:cs="Times New Roman"/>
          <w:color w:val="000000" w:themeColor="text1"/>
          <w:lang w:val="en-US"/>
        </w:rPr>
        <w:t xml:space="preserve"> Advisors for both Heinz (Bank of America Merrill Lynch, Centerview, Moelis &amp; Co.) and the buyers (J.P. Morgan, Lazard, Wells Fargo) provided fairness opinions, concluding the offer was fair from a financial perspective. Morningstar called it a “fabulous deal”, representing a nearly 30% premium to their standalone fair value estimate of $56; RBC Capital Markets viewed it as a “good deal for HNZ shareholders”.</w:t>
      </w:r>
    </w:p>
    <w:p w14:paraId="614B3714" w14:textId="1D8CD335" w:rsidR="00066C18" w:rsidRDefault="00335E39" w:rsidP="002B55AC">
      <w:pPr>
        <w:spacing w:line="360" w:lineRule="auto"/>
        <w:ind w:firstLine="420"/>
        <w:jc w:val="both"/>
        <w:rPr>
          <w:rFonts w:eastAsia="KaiTi"/>
          <w:color w:val="000000" w:themeColor="text1"/>
          <w:lang w:val="en-US"/>
        </w:rPr>
      </w:pPr>
      <w:r w:rsidRPr="00335E39">
        <w:rPr>
          <w:rFonts w:eastAsia="KaiTi"/>
          <w:color w:val="000000" w:themeColor="text1"/>
          <w:lang w:val="en-US"/>
        </w:rPr>
        <w:t>I</w:t>
      </w:r>
      <w:r w:rsidRPr="00335E39">
        <w:rPr>
          <w:rFonts w:eastAsia="KaiTi" w:hint="eastAsia"/>
          <w:color w:val="000000" w:themeColor="text1"/>
          <w:lang w:val="en-US"/>
        </w:rPr>
        <w:t xml:space="preserve">n </w:t>
      </w:r>
      <w:r>
        <w:rPr>
          <w:rFonts w:eastAsia="KaiTi" w:hint="eastAsia"/>
          <w:color w:val="000000" w:themeColor="text1"/>
          <w:lang w:val="en-US"/>
        </w:rPr>
        <w:t>c</w:t>
      </w:r>
      <w:r w:rsidR="007E64DC" w:rsidRPr="00335E39">
        <w:rPr>
          <w:rFonts w:eastAsia="KaiTi"/>
          <w:color w:val="000000" w:themeColor="text1"/>
          <w:lang w:val="en-US"/>
        </w:rPr>
        <w:t>onclusion</w:t>
      </w:r>
      <w:r w:rsidRPr="00335E39">
        <w:rPr>
          <w:rFonts w:eastAsia="KaiTi" w:hint="eastAsia"/>
          <w:color w:val="000000" w:themeColor="text1"/>
          <w:lang w:val="en-US"/>
        </w:rPr>
        <w:t xml:space="preserve">, </w:t>
      </w:r>
      <w:r>
        <w:rPr>
          <w:rFonts w:eastAsia="KaiTi" w:hint="eastAsia"/>
          <w:color w:val="000000" w:themeColor="text1"/>
          <w:lang w:val="en-US"/>
        </w:rPr>
        <w:t>w</w:t>
      </w:r>
      <w:r w:rsidR="007E64DC" w:rsidRPr="007E64DC">
        <w:rPr>
          <w:rFonts w:eastAsia="KaiTi"/>
          <w:color w:val="000000" w:themeColor="text1"/>
          <w:lang w:val="en-US"/>
        </w:rPr>
        <w:t>hile Heinz faced challenges (e.g., minimal near-term EBIT growth, lack of estimated synergies), the 20% acquisition premium was reasonable. It aligned with historical norms, reflected Heinz’s strong brand, cash flow, and emerging market potential, was supported by favorable financing conditions and was validated by multiple independent fairness opinions and positive analyst assessments.</w:t>
      </w:r>
      <w:r w:rsidR="00066C18">
        <w:rPr>
          <w:rFonts w:eastAsia="KaiTi"/>
          <w:color w:val="000000" w:themeColor="text1"/>
          <w:lang w:val="en-US"/>
        </w:rPr>
        <w:br w:type="page"/>
      </w:r>
    </w:p>
    <w:p w14:paraId="3E42E340" w14:textId="77777777" w:rsidR="002B55AC" w:rsidRPr="005928A4" w:rsidRDefault="002B55AC" w:rsidP="002B55AC">
      <w:pPr>
        <w:spacing w:line="360" w:lineRule="auto"/>
        <w:rPr>
          <w:rFonts w:eastAsia="KaiTi"/>
          <w:color w:val="000000" w:themeColor="text1"/>
        </w:rPr>
      </w:pPr>
      <w:bookmarkStart w:id="0" w:name="OLE_LINK1"/>
      <w:r w:rsidRPr="002B55AC">
        <w:rPr>
          <w:rFonts w:eastAsia="KaiTi"/>
          <w:b/>
          <w:bCs/>
          <w:i/>
          <w:iCs/>
          <w:color w:val="000000" w:themeColor="text1"/>
          <w:lang w:val="en-US"/>
        </w:rPr>
        <w:lastRenderedPageBreak/>
        <w:t>Question 3.</w:t>
      </w:r>
      <w:r w:rsidRPr="002B55AC">
        <w:rPr>
          <w:rFonts w:eastAsia="KaiTi"/>
          <w:color w:val="000000" w:themeColor="text1"/>
          <w:lang w:val="en-US"/>
        </w:rPr>
        <w:t xml:space="preserve"> Complete a valuation of Heinz for this acquisition based on the provided actual financial information. </w:t>
      </w:r>
      <w:r w:rsidRPr="0034163E">
        <w:rPr>
          <w:rFonts w:eastAsia="KaiTi"/>
          <w:color w:val="000000" w:themeColor="text1"/>
        </w:rPr>
        <w:t>Develop a football field valuation analysis.</w:t>
      </w:r>
    </w:p>
    <w:p w14:paraId="2AA95C33" w14:textId="62355A13" w:rsidR="002B55AC" w:rsidRPr="002B55AC" w:rsidRDefault="002B55AC" w:rsidP="002B55AC">
      <w:pPr>
        <w:spacing w:line="360" w:lineRule="auto"/>
        <w:rPr>
          <w:rFonts w:eastAsia="KaiTi"/>
          <w:color w:val="000000" w:themeColor="text1"/>
        </w:rPr>
      </w:pPr>
      <w:r w:rsidRPr="001430F6">
        <w:rPr>
          <w:rFonts w:eastAsia="KaiTi"/>
          <w:b/>
          <w:bCs/>
          <w:i/>
          <w:iCs/>
          <w:color w:val="000000" w:themeColor="text1"/>
        </w:rPr>
        <w:t>Answer:</w:t>
      </w:r>
      <w:r w:rsidRPr="005F3BBB">
        <w:rPr>
          <w:rFonts w:eastAsia="KaiTi"/>
          <w:color w:val="000000" w:themeColor="text1"/>
        </w:rPr>
        <w:t xml:space="preserve"> </w:t>
      </w:r>
      <w:bookmarkEnd w:id="0"/>
    </w:p>
    <w:p w14:paraId="3E396819" w14:textId="185CAF5A" w:rsidR="00F13103" w:rsidRPr="00024EE9" w:rsidRDefault="00F13103" w:rsidP="002B55AC">
      <w:pPr>
        <w:pStyle w:val="ListParagraph"/>
        <w:numPr>
          <w:ilvl w:val="0"/>
          <w:numId w:val="18"/>
        </w:numPr>
        <w:spacing w:line="360" w:lineRule="auto"/>
        <w:rPr>
          <w:rFonts w:ascii="Times New Roman" w:hAnsi="Times New Roman" w:cs="Times New Roman"/>
          <w:b/>
          <w:bCs/>
          <w:sz w:val="28"/>
          <w:szCs w:val="28"/>
          <w:lang w:val="en-US"/>
        </w:rPr>
      </w:pPr>
      <w:r w:rsidRPr="00024EE9">
        <w:rPr>
          <w:rFonts w:ascii="Times New Roman" w:hAnsi="Times New Roman" w:cs="Times New Roman"/>
          <w:b/>
          <w:bCs/>
          <w:sz w:val="28"/>
          <w:szCs w:val="28"/>
          <w:lang w:val="en-US"/>
        </w:rPr>
        <w:t xml:space="preserve">Relative Valuation </w:t>
      </w:r>
    </w:p>
    <w:p w14:paraId="3B5B5921" w14:textId="77777777" w:rsidR="0024183A" w:rsidRPr="00024EE9" w:rsidRDefault="00F84AE3" w:rsidP="0024183A">
      <w:pPr>
        <w:spacing w:line="360" w:lineRule="auto"/>
        <w:rPr>
          <w:b/>
          <w:bCs/>
          <w:lang w:val="en-US"/>
        </w:rPr>
      </w:pPr>
      <w:r w:rsidRPr="00024EE9">
        <w:rPr>
          <w:b/>
          <w:bCs/>
          <w:lang w:val="en-US"/>
        </w:rPr>
        <w:t>1</w:t>
      </w:r>
      <w:r w:rsidR="00A46947" w:rsidRPr="00024EE9">
        <w:rPr>
          <w:b/>
          <w:bCs/>
          <w:lang w:val="en-US"/>
        </w:rPr>
        <w:t>.1. The Universe of Comparable Companies</w:t>
      </w:r>
    </w:p>
    <w:p w14:paraId="3A771CDB" w14:textId="77777777" w:rsidR="0024183A" w:rsidRDefault="0024183A" w:rsidP="0069639D">
      <w:pPr>
        <w:spacing w:after="240" w:line="360" w:lineRule="auto"/>
        <w:rPr>
          <w:lang w:val="en-US"/>
        </w:rPr>
      </w:pPr>
      <w:r>
        <w:rPr>
          <w:lang w:val="en-US"/>
        </w:rPr>
        <w:t>For relative valuation 12 peer companies were selected, which include</w:t>
      </w:r>
      <w:r w:rsidRPr="0024183A">
        <w:rPr>
          <w:lang w:val="en-US"/>
        </w:rPr>
        <w:t>:</w:t>
      </w:r>
    </w:p>
    <w:tbl>
      <w:tblPr>
        <w:tblStyle w:val="TableGrid"/>
        <w:tblW w:w="0" w:type="auto"/>
        <w:jc w:val="center"/>
        <w:tblLook w:val="04A0" w:firstRow="1" w:lastRow="0" w:firstColumn="1" w:lastColumn="0" w:noHBand="0" w:noVBand="1"/>
      </w:tblPr>
      <w:tblGrid>
        <w:gridCol w:w="511"/>
        <w:gridCol w:w="1949"/>
        <w:gridCol w:w="7088"/>
      </w:tblGrid>
      <w:tr w:rsidR="0024183A" w:rsidRPr="00E70817" w14:paraId="4EFED14B" w14:textId="77777777" w:rsidTr="002B536F">
        <w:trPr>
          <w:trHeight w:val="155"/>
          <w:jc w:val="center"/>
        </w:trPr>
        <w:tc>
          <w:tcPr>
            <w:tcW w:w="456" w:type="dxa"/>
            <w:vAlign w:val="center"/>
          </w:tcPr>
          <w:p w14:paraId="069ADD8C" w14:textId="2942B019" w:rsidR="0024183A" w:rsidRPr="002B536F" w:rsidRDefault="002B536F" w:rsidP="00E70817">
            <w:pPr>
              <w:jc w:val="center"/>
              <w:rPr>
                <w:b/>
                <w:bCs/>
                <w:sz w:val="20"/>
                <w:szCs w:val="20"/>
                <w:lang w:val="en-US"/>
              </w:rPr>
            </w:pPr>
            <w:r>
              <w:rPr>
                <w:rFonts w:hint="eastAsia"/>
                <w:b/>
                <w:bCs/>
                <w:sz w:val="20"/>
                <w:szCs w:val="20"/>
              </w:rPr>
              <w:t>No</w:t>
            </w:r>
            <w:r>
              <w:rPr>
                <w:b/>
                <w:bCs/>
                <w:sz w:val="20"/>
                <w:szCs w:val="20"/>
              </w:rPr>
              <w:t>.</w:t>
            </w:r>
          </w:p>
        </w:tc>
        <w:tc>
          <w:tcPr>
            <w:tcW w:w="1949" w:type="dxa"/>
            <w:vAlign w:val="center"/>
          </w:tcPr>
          <w:p w14:paraId="7E31EB1E" w14:textId="77777777" w:rsidR="0024183A" w:rsidRPr="00E70817" w:rsidRDefault="0024183A" w:rsidP="00E70817">
            <w:pPr>
              <w:jc w:val="center"/>
              <w:rPr>
                <w:b/>
                <w:bCs/>
                <w:sz w:val="20"/>
                <w:szCs w:val="20"/>
                <w:lang w:val="en-US"/>
              </w:rPr>
            </w:pPr>
            <w:r w:rsidRPr="00E70817">
              <w:rPr>
                <w:b/>
                <w:bCs/>
                <w:sz w:val="20"/>
                <w:szCs w:val="20"/>
                <w:lang w:val="en-US"/>
              </w:rPr>
              <w:t>Company</w:t>
            </w:r>
            <w:r w:rsidR="00E70817" w:rsidRPr="00E70817">
              <w:rPr>
                <w:b/>
                <w:bCs/>
                <w:sz w:val="20"/>
                <w:szCs w:val="20"/>
                <w:lang w:val="en-US"/>
              </w:rPr>
              <w:t xml:space="preserve"> Name</w:t>
            </w:r>
          </w:p>
        </w:tc>
        <w:tc>
          <w:tcPr>
            <w:tcW w:w="7088" w:type="dxa"/>
            <w:vAlign w:val="center"/>
          </w:tcPr>
          <w:p w14:paraId="5C15E4FE" w14:textId="77777777" w:rsidR="0024183A" w:rsidRPr="00E70817" w:rsidRDefault="003C564C" w:rsidP="00E70817">
            <w:pPr>
              <w:jc w:val="center"/>
              <w:rPr>
                <w:b/>
                <w:bCs/>
                <w:sz w:val="20"/>
                <w:szCs w:val="20"/>
                <w:lang w:val="en-US"/>
              </w:rPr>
            </w:pPr>
            <w:r>
              <w:rPr>
                <w:b/>
                <w:bCs/>
                <w:sz w:val="20"/>
                <w:szCs w:val="20"/>
                <w:lang w:val="en-US"/>
              </w:rPr>
              <w:t>Main Business</w:t>
            </w:r>
          </w:p>
        </w:tc>
      </w:tr>
      <w:tr w:rsidR="0024183A" w:rsidRPr="002B55AC" w14:paraId="47C28DD6" w14:textId="77777777" w:rsidTr="002B536F">
        <w:trPr>
          <w:jc w:val="center"/>
        </w:trPr>
        <w:tc>
          <w:tcPr>
            <w:tcW w:w="456" w:type="dxa"/>
            <w:vAlign w:val="center"/>
          </w:tcPr>
          <w:p w14:paraId="20B00F1A" w14:textId="77777777" w:rsidR="0024183A" w:rsidRPr="00E70817" w:rsidRDefault="0024183A" w:rsidP="00E70817">
            <w:pPr>
              <w:jc w:val="center"/>
              <w:rPr>
                <w:sz w:val="20"/>
                <w:szCs w:val="20"/>
              </w:rPr>
            </w:pPr>
            <w:r w:rsidRPr="00E70817">
              <w:rPr>
                <w:sz w:val="20"/>
                <w:szCs w:val="20"/>
              </w:rPr>
              <w:t>1</w:t>
            </w:r>
          </w:p>
        </w:tc>
        <w:tc>
          <w:tcPr>
            <w:tcW w:w="1949" w:type="dxa"/>
            <w:vAlign w:val="center"/>
          </w:tcPr>
          <w:p w14:paraId="1D401EA8" w14:textId="77777777" w:rsidR="0024183A" w:rsidRPr="00E70817" w:rsidRDefault="0024183A" w:rsidP="00E70817">
            <w:pPr>
              <w:rPr>
                <w:sz w:val="20"/>
                <w:szCs w:val="20"/>
                <w:lang w:val="en-US"/>
              </w:rPr>
            </w:pPr>
            <w:r w:rsidRPr="00E70817">
              <w:rPr>
                <w:sz w:val="20"/>
                <w:szCs w:val="20"/>
                <w:lang w:val="en-US"/>
              </w:rPr>
              <w:t>Campbell</w:t>
            </w:r>
          </w:p>
        </w:tc>
        <w:tc>
          <w:tcPr>
            <w:tcW w:w="7088" w:type="dxa"/>
            <w:vAlign w:val="center"/>
          </w:tcPr>
          <w:p w14:paraId="3FE4CE13" w14:textId="77777777" w:rsidR="0024183A" w:rsidRPr="00E70817" w:rsidRDefault="00E70817" w:rsidP="00E70817">
            <w:pPr>
              <w:rPr>
                <w:sz w:val="20"/>
                <w:szCs w:val="20"/>
                <w:lang w:val="en-US"/>
              </w:rPr>
            </w:pPr>
            <w:r w:rsidRPr="00E70817">
              <w:rPr>
                <w:sz w:val="20"/>
                <w:szCs w:val="20"/>
                <w:lang w:val="en-US"/>
              </w:rPr>
              <w:t>U.S. simple meals, global baking and snaking, international simple meals and beverages, U.S. beverages, North America food service</w:t>
            </w:r>
          </w:p>
        </w:tc>
      </w:tr>
      <w:tr w:rsidR="0024183A" w:rsidRPr="002B55AC" w14:paraId="04A398E9" w14:textId="77777777" w:rsidTr="002B536F">
        <w:trPr>
          <w:jc w:val="center"/>
        </w:trPr>
        <w:tc>
          <w:tcPr>
            <w:tcW w:w="456" w:type="dxa"/>
            <w:vAlign w:val="center"/>
          </w:tcPr>
          <w:p w14:paraId="0DC829E8" w14:textId="77777777" w:rsidR="0024183A" w:rsidRPr="00E70817" w:rsidRDefault="0024183A" w:rsidP="00E70817">
            <w:pPr>
              <w:jc w:val="center"/>
              <w:rPr>
                <w:sz w:val="20"/>
                <w:szCs w:val="20"/>
              </w:rPr>
            </w:pPr>
            <w:r w:rsidRPr="00E70817">
              <w:rPr>
                <w:sz w:val="20"/>
                <w:szCs w:val="20"/>
              </w:rPr>
              <w:t>2</w:t>
            </w:r>
          </w:p>
        </w:tc>
        <w:tc>
          <w:tcPr>
            <w:tcW w:w="1949" w:type="dxa"/>
            <w:vAlign w:val="center"/>
          </w:tcPr>
          <w:p w14:paraId="52FC509E" w14:textId="77777777" w:rsidR="0024183A" w:rsidRPr="00E70817" w:rsidRDefault="0024183A" w:rsidP="00E70817">
            <w:pPr>
              <w:rPr>
                <w:sz w:val="20"/>
                <w:szCs w:val="20"/>
                <w:lang w:val="en-US"/>
              </w:rPr>
            </w:pPr>
            <w:r w:rsidRPr="00E70817">
              <w:rPr>
                <w:sz w:val="20"/>
                <w:szCs w:val="20"/>
                <w:lang w:val="en-US"/>
              </w:rPr>
              <w:t>ConAgra Foods</w:t>
            </w:r>
          </w:p>
        </w:tc>
        <w:tc>
          <w:tcPr>
            <w:tcW w:w="7088" w:type="dxa"/>
            <w:vAlign w:val="center"/>
          </w:tcPr>
          <w:p w14:paraId="34ADA51A" w14:textId="77777777" w:rsidR="0024183A" w:rsidRPr="00E70817" w:rsidRDefault="00E70817" w:rsidP="00E70817">
            <w:pPr>
              <w:rPr>
                <w:sz w:val="20"/>
                <w:szCs w:val="20"/>
                <w:lang w:val="en-US"/>
              </w:rPr>
            </w:pPr>
            <w:r>
              <w:rPr>
                <w:sz w:val="20"/>
                <w:szCs w:val="20"/>
                <w:lang w:val="en-US"/>
              </w:rPr>
              <w:t>The largest private brand packaged food business in North America and strong commercial food presence</w:t>
            </w:r>
          </w:p>
        </w:tc>
      </w:tr>
      <w:tr w:rsidR="0024183A" w:rsidRPr="002B55AC" w14:paraId="377E1E2B" w14:textId="77777777" w:rsidTr="002B536F">
        <w:trPr>
          <w:jc w:val="center"/>
        </w:trPr>
        <w:tc>
          <w:tcPr>
            <w:tcW w:w="456" w:type="dxa"/>
            <w:vAlign w:val="center"/>
          </w:tcPr>
          <w:p w14:paraId="132DDA8B" w14:textId="77777777" w:rsidR="0024183A" w:rsidRPr="00E70817" w:rsidRDefault="0024183A" w:rsidP="00E70817">
            <w:pPr>
              <w:jc w:val="center"/>
              <w:rPr>
                <w:sz w:val="20"/>
                <w:szCs w:val="20"/>
              </w:rPr>
            </w:pPr>
            <w:r w:rsidRPr="00E70817">
              <w:rPr>
                <w:sz w:val="20"/>
                <w:szCs w:val="20"/>
              </w:rPr>
              <w:t>3</w:t>
            </w:r>
          </w:p>
        </w:tc>
        <w:tc>
          <w:tcPr>
            <w:tcW w:w="1949" w:type="dxa"/>
            <w:vAlign w:val="center"/>
          </w:tcPr>
          <w:p w14:paraId="6125CD4D" w14:textId="77777777" w:rsidR="0024183A" w:rsidRPr="00E70817" w:rsidRDefault="0024183A" w:rsidP="00E70817">
            <w:pPr>
              <w:rPr>
                <w:sz w:val="20"/>
                <w:szCs w:val="20"/>
                <w:lang w:val="en-US"/>
              </w:rPr>
            </w:pPr>
            <w:r w:rsidRPr="00E70817">
              <w:rPr>
                <w:sz w:val="20"/>
                <w:szCs w:val="20"/>
                <w:lang w:val="en-US"/>
              </w:rPr>
              <w:t>General Mills</w:t>
            </w:r>
          </w:p>
        </w:tc>
        <w:tc>
          <w:tcPr>
            <w:tcW w:w="7088" w:type="dxa"/>
            <w:vAlign w:val="center"/>
          </w:tcPr>
          <w:p w14:paraId="0241F5C4" w14:textId="77777777" w:rsidR="0024183A" w:rsidRPr="00E70817" w:rsidRDefault="003C564C" w:rsidP="00E70817">
            <w:pPr>
              <w:rPr>
                <w:sz w:val="20"/>
                <w:szCs w:val="20"/>
                <w:lang w:val="en-US"/>
              </w:rPr>
            </w:pPr>
            <w:r>
              <w:rPr>
                <w:sz w:val="20"/>
                <w:szCs w:val="20"/>
                <w:lang w:val="en-US"/>
              </w:rPr>
              <w:t>A leading global manufacturer and marketer of food products. Manufactures products in 16 countries and markets in more than 130 worldwide.</w:t>
            </w:r>
          </w:p>
        </w:tc>
      </w:tr>
      <w:tr w:rsidR="0024183A" w:rsidRPr="002B55AC" w14:paraId="235425D9" w14:textId="77777777" w:rsidTr="002B536F">
        <w:trPr>
          <w:jc w:val="center"/>
        </w:trPr>
        <w:tc>
          <w:tcPr>
            <w:tcW w:w="456" w:type="dxa"/>
            <w:vAlign w:val="center"/>
          </w:tcPr>
          <w:p w14:paraId="7C5839C7" w14:textId="77777777" w:rsidR="0024183A" w:rsidRPr="00E70817" w:rsidRDefault="0024183A" w:rsidP="00E70817">
            <w:pPr>
              <w:jc w:val="center"/>
              <w:rPr>
                <w:sz w:val="20"/>
                <w:szCs w:val="20"/>
              </w:rPr>
            </w:pPr>
            <w:r w:rsidRPr="00E70817">
              <w:rPr>
                <w:sz w:val="20"/>
                <w:szCs w:val="20"/>
              </w:rPr>
              <w:t>4</w:t>
            </w:r>
          </w:p>
        </w:tc>
        <w:tc>
          <w:tcPr>
            <w:tcW w:w="1949" w:type="dxa"/>
            <w:vAlign w:val="center"/>
          </w:tcPr>
          <w:p w14:paraId="5FAD762F" w14:textId="77777777" w:rsidR="0024183A" w:rsidRPr="00E70817" w:rsidRDefault="0024183A" w:rsidP="00E70817">
            <w:pPr>
              <w:rPr>
                <w:sz w:val="20"/>
                <w:szCs w:val="20"/>
                <w:lang w:val="en-US"/>
              </w:rPr>
            </w:pPr>
            <w:r w:rsidRPr="00E70817">
              <w:rPr>
                <w:sz w:val="20"/>
                <w:szCs w:val="20"/>
                <w:lang w:val="en-US"/>
              </w:rPr>
              <w:t>Groupe Danone</w:t>
            </w:r>
          </w:p>
        </w:tc>
        <w:tc>
          <w:tcPr>
            <w:tcW w:w="7088" w:type="dxa"/>
            <w:vAlign w:val="center"/>
          </w:tcPr>
          <w:p w14:paraId="1C9BE2AF" w14:textId="77777777" w:rsidR="0024183A" w:rsidRPr="00E70817" w:rsidRDefault="008A1705" w:rsidP="00E70817">
            <w:pPr>
              <w:rPr>
                <w:sz w:val="20"/>
                <w:szCs w:val="20"/>
                <w:lang w:val="en-US"/>
              </w:rPr>
            </w:pPr>
            <w:r>
              <w:rPr>
                <w:sz w:val="20"/>
                <w:szCs w:val="20"/>
                <w:lang w:val="en-US"/>
              </w:rPr>
              <w:t>Fresh dairy products, beverages, biscuits, and cereal products.</w:t>
            </w:r>
          </w:p>
        </w:tc>
      </w:tr>
      <w:tr w:rsidR="0024183A" w:rsidRPr="00E70817" w14:paraId="0B1E0FF9" w14:textId="77777777" w:rsidTr="002B536F">
        <w:trPr>
          <w:jc w:val="center"/>
        </w:trPr>
        <w:tc>
          <w:tcPr>
            <w:tcW w:w="456" w:type="dxa"/>
            <w:vAlign w:val="center"/>
          </w:tcPr>
          <w:p w14:paraId="6E3CBA3D" w14:textId="77777777" w:rsidR="0024183A" w:rsidRPr="00E70817" w:rsidRDefault="0024183A" w:rsidP="00E70817">
            <w:pPr>
              <w:jc w:val="center"/>
              <w:rPr>
                <w:sz w:val="20"/>
                <w:szCs w:val="20"/>
              </w:rPr>
            </w:pPr>
            <w:r w:rsidRPr="00E70817">
              <w:rPr>
                <w:sz w:val="20"/>
                <w:szCs w:val="20"/>
              </w:rPr>
              <w:t>5</w:t>
            </w:r>
          </w:p>
        </w:tc>
        <w:tc>
          <w:tcPr>
            <w:tcW w:w="1949" w:type="dxa"/>
            <w:vAlign w:val="center"/>
          </w:tcPr>
          <w:p w14:paraId="2AC1B025" w14:textId="77777777" w:rsidR="0024183A" w:rsidRPr="00E70817" w:rsidRDefault="0024183A" w:rsidP="00E70817">
            <w:pPr>
              <w:rPr>
                <w:sz w:val="20"/>
                <w:szCs w:val="20"/>
                <w:lang w:val="en-US"/>
              </w:rPr>
            </w:pPr>
            <w:r w:rsidRPr="00E70817">
              <w:rPr>
                <w:sz w:val="20"/>
                <w:szCs w:val="20"/>
                <w:lang w:val="en-US"/>
              </w:rPr>
              <w:t>Hershey</w:t>
            </w:r>
          </w:p>
        </w:tc>
        <w:tc>
          <w:tcPr>
            <w:tcW w:w="7088" w:type="dxa"/>
            <w:vAlign w:val="center"/>
          </w:tcPr>
          <w:p w14:paraId="638F4A30" w14:textId="77777777" w:rsidR="0024183A" w:rsidRPr="00E70817" w:rsidRDefault="008A1705" w:rsidP="00E70817">
            <w:pPr>
              <w:rPr>
                <w:sz w:val="20"/>
                <w:szCs w:val="20"/>
                <w:lang w:val="en-US"/>
              </w:rPr>
            </w:pPr>
            <w:r>
              <w:rPr>
                <w:sz w:val="20"/>
                <w:szCs w:val="20"/>
                <w:lang w:val="en-US"/>
              </w:rPr>
              <w:t>The largest producer of quality chocolate in North America and global leader in chocolate and sugar confectionery products. Markets in more than 130 counties worldwide.</w:t>
            </w:r>
          </w:p>
        </w:tc>
      </w:tr>
      <w:tr w:rsidR="0024183A" w:rsidRPr="00E70817" w14:paraId="2F801A82" w14:textId="77777777" w:rsidTr="002B536F">
        <w:trPr>
          <w:jc w:val="center"/>
        </w:trPr>
        <w:tc>
          <w:tcPr>
            <w:tcW w:w="456" w:type="dxa"/>
            <w:vAlign w:val="center"/>
          </w:tcPr>
          <w:p w14:paraId="1B577297" w14:textId="77777777" w:rsidR="0024183A" w:rsidRPr="00E70817" w:rsidRDefault="0024183A" w:rsidP="00E70817">
            <w:pPr>
              <w:jc w:val="center"/>
              <w:rPr>
                <w:sz w:val="20"/>
                <w:szCs w:val="20"/>
              </w:rPr>
            </w:pPr>
            <w:r w:rsidRPr="00E70817">
              <w:rPr>
                <w:sz w:val="20"/>
                <w:szCs w:val="20"/>
              </w:rPr>
              <w:t>6</w:t>
            </w:r>
          </w:p>
        </w:tc>
        <w:tc>
          <w:tcPr>
            <w:tcW w:w="1949" w:type="dxa"/>
            <w:vAlign w:val="center"/>
          </w:tcPr>
          <w:p w14:paraId="04D3C800" w14:textId="77777777" w:rsidR="0024183A" w:rsidRPr="00E70817" w:rsidRDefault="0024183A" w:rsidP="00E70817">
            <w:pPr>
              <w:rPr>
                <w:sz w:val="20"/>
                <w:szCs w:val="20"/>
                <w:lang w:val="en-US"/>
              </w:rPr>
            </w:pPr>
            <w:r w:rsidRPr="00E70817">
              <w:rPr>
                <w:sz w:val="20"/>
                <w:szCs w:val="20"/>
                <w:lang w:val="en-US"/>
              </w:rPr>
              <w:t>Kellogg</w:t>
            </w:r>
          </w:p>
        </w:tc>
        <w:tc>
          <w:tcPr>
            <w:tcW w:w="7088" w:type="dxa"/>
            <w:vAlign w:val="center"/>
          </w:tcPr>
          <w:p w14:paraId="4BAC63DE" w14:textId="77777777" w:rsidR="0024183A" w:rsidRPr="00E70817" w:rsidRDefault="008A1705" w:rsidP="00E70817">
            <w:pPr>
              <w:rPr>
                <w:sz w:val="20"/>
                <w:szCs w:val="20"/>
                <w:lang w:val="en-US"/>
              </w:rPr>
            </w:pPr>
            <w:r>
              <w:rPr>
                <w:sz w:val="20"/>
                <w:szCs w:val="20"/>
                <w:lang w:val="en-US"/>
              </w:rPr>
              <w:t>Manufacturing and marketing of ready-to-eat cereal and convenience foods. Manufactures products in 18 countries and markets in more than 180.</w:t>
            </w:r>
          </w:p>
        </w:tc>
      </w:tr>
      <w:tr w:rsidR="0024183A" w:rsidRPr="002B55AC" w14:paraId="52C38278" w14:textId="77777777" w:rsidTr="002B536F">
        <w:trPr>
          <w:jc w:val="center"/>
        </w:trPr>
        <w:tc>
          <w:tcPr>
            <w:tcW w:w="456" w:type="dxa"/>
            <w:vAlign w:val="center"/>
          </w:tcPr>
          <w:p w14:paraId="6085C56A" w14:textId="77777777" w:rsidR="0024183A" w:rsidRPr="00E70817" w:rsidRDefault="0024183A" w:rsidP="00E70817">
            <w:pPr>
              <w:jc w:val="center"/>
              <w:rPr>
                <w:sz w:val="20"/>
                <w:szCs w:val="20"/>
              </w:rPr>
            </w:pPr>
            <w:r w:rsidRPr="00E70817">
              <w:rPr>
                <w:sz w:val="20"/>
                <w:szCs w:val="20"/>
              </w:rPr>
              <w:t>7</w:t>
            </w:r>
          </w:p>
        </w:tc>
        <w:tc>
          <w:tcPr>
            <w:tcW w:w="1949" w:type="dxa"/>
            <w:vAlign w:val="center"/>
          </w:tcPr>
          <w:p w14:paraId="06F36BB2" w14:textId="77777777" w:rsidR="0024183A" w:rsidRPr="00E70817" w:rsidRDefault="0024183A" w:rsidP="00E70817">
            <w:pPr>
              <w:rPr>
                <w:sz w:val="20"/>
                <w:szCs w:val="20"/>
                <w:lang w:val="en-US"/>
              </w:rPr>
            </w:pPr>
            <w:r w:rsidRPr="00E70817">
              <w:rPr>
                <w:sz w:val="20"/>
                <w:szCs w:val="20"/>
                <w:lang w:val="en-US"/>
              </w:rPr>
              <w:t>Kraft</w:t>
            </w:r>
          </w:p>
        </w:tc>
        <w:tc>
          <w:tcPr>
            <w:tcW w:w="7088" w:type="dxa"/>
            <w:vAlign w:val="center"/>
          </w:tcPr>
          <w:p w14:paraId="43774CA1" w14:textId="77777777" w:rsidR="0024183A" w:rsidRPr="00E70817" w:rsidRDefault="003C564C" w:rsidP="00E70817">
            <w:pPr>
              <w:rPr>
                <w:sz w:val="20"/>
                <w:szCs w:val="20"/>
                <w:lang w:val="en-US"/>
              </w:rPr>
            </w:pPr>
            <w:r>
              <w:rPr>
                <w:sz w:val="20"/>
                <w:szCs w:val="20"/>
                <w:lang w:val="en-US"/>
              </w:rPr>
              <w:t>One of the largest consumer packaged food and beverage companies in North America and worldwide.</w:t>
            </w:r>
          </w:p>
        </w:tc>
      </w:tr>
      <w:tr w:rsidR="0024183A" w:rsidRPr="00E70817" w14:paraId="5B7EE47E" w14:textId="77777777" w:rsidTr="002B536F">
        <w:trPr>
          <w:jc w:val="center"/>
        </w:trPr>
        <w:tc>
          <w:tcPr>
            <w:tcW w:w="456" w:type="dxa"/>
            <w:vAlign w:val="center"/>
          </w:tcPr>
          <w:p w14:paraId="31712876" w14:textId="77777777" w:rsidR="0024183A" w:rsidRPr="00E70817" w:rsidRDefault="0024183A" w:rsidP="00E70817">
            <w:pPr>
              <w:jc w:val="center"/>
              <w:rPr>
                <w:sz w:val="20"/>
                <w:szCs w:val="20"/>
              </w:rPr>
            </w:pPr>
            <w:r w:rsidRPr="00E70817">
              <w:rPr>
                <w:sz w:val="20"/>
                <w:szCs w:val="20"/>
              </w:rPr>
              <w:t>8</w:t>
            </w:r>
          </w:p>
        </w:tc>
        <w:tc>
          <w:tcPr>
            <w:tcW w:w="1949" w:type="dxa"/>
            <w:vAlign w:val="center"/>
          </w:tcPr>
          <w:p w14:paraId="5D29FBCD" w14:textId="77777777" w:rsidR="0024183A" w:rsidRPr="00E70817" w:rsidRDefault="00E70817" w:rsidP="00E70817">
            <w:pPr>
              <w:rPr>
                <w:sz w:val="20"/>
                <w:szCs w:val="20"/>
                <w:lang w:val="en-US"/>
              </w:rPr>
            </w:pPr>
            <w:r w:rsidRPr="00E70817">
              <w:rPr>
                <w:sz w:val="20"/>
                <w:szCs w:val="20"/>
                <w:lang w:val="en-US"/>
              </w:rPr>
              <w:t>Mondelez</w:t>
            </w:r>
          </w:p>
        </w:tc>
        <w:tc>
          <w:tcPr>
            <w:tcW w:w="7088" w:type="dxa"/>
            <w:vAlign w:val="center"/>
          </w:tcPr>
          <w:p w14:paraId="2EADC582" w14:textId="77777777" w:rsidR="0024183A" w:rsidRPr="00E70817" w:rsidRDefault="005624F9" w:rsidP="00E70817">
            <w:pPr>
              <w:rPr>
                <w:sz w:val="20"/>
                <w:szCs w:val="20"/>
                <w:lang w:val="en-US"/>
              </w:rPr>
            </w:pPr>
            <w:r>
              <w:rPr>
                <w:sz w:val="20"/>
                <w:szCs w:val="20"/>
                <w:lang w:val="en-US"/>
              </w:rPr>
              <w:t>One of the world’s largest snack companies. Manufactures and markets products in approximately 165 countries. Number one in biscuits, chocolate, candy, and powers beverages.</w:t>
            </w:r>
          </w:p>
        </w:tc>
      </w:tr>
      <w:tr w:rsidR="0024183A" w:rsidRPr="00E70817" w14:paraId="38ED4ED4" w14:textId="77777777" w:rsidTr="002B536F">
        <w:trPr>
          <w:jc w:val="center"/>
        </w:trPr>
        <w:tc>
          <w:tcPr>
            <w:tcW w:w="456" w:type="dxa"/>
            <w:vAlign w:val="center"/>
          </w:tcPr>
          <w:p w14:paraId="2E108E91" w14:textId="77777777" w:rsidR="0024183A" w:rsidRPr="00E70817" w:rsidRDefault="0024183A" w:rsidP="00E70817">
            <w:pPr>
              <w:jc w:val="center"/>
              <w:rPr>
                <w:sz w:val="20"/>
                <w:szCs w:val="20"/>
              </w:rPr>
            </w:pPr>
            <w:r w:rsidRPr="00E70817">
              <w:rPr>
                <w:sz w:val="20"/>
                <w:szCs w:val="20"/>
              </w:rPr>
              <w:t>9</w:t>
            </w:r>
          </w:p>
        </w:tc>
        <w:tc>
          <w:tcPr>
            <w:tcW w:w="1949" w:type="dxa"/>
            <w:vAlign w:val="center"/>
          </w:tcPr>
          <w:p w14:paraId="4C3A0D84" w14:textId="77777777" w:rsidR="00E70817" w:rsidRPr="00E70817" w:rsidRDefault="00E70817" w:rsidP="00E70817">
            <w:pPr>
              <w:rPr>
                <w:sz w:val="20"/>
                <w:szCs w:val="20"/>
                <w:lang w:val="en-US"/>
              </w:rPr>
            </w:pPr>
            <w:r w:rsidRPr="00E70817">
              <w:rPr>
                <w:sz w:val="20"/>
                <w:szCs w:val="20"/>
                <w:lang w:val="en-US"/>
              </w:rPr>
              <w:t>Nestle S.A.</w:t>
            </w:r>
          </w:p>
        </w:tc>
        <w:tc>
          <w:tcPr>
            <w:tcW w:w="7088" w:type="dxa"/>
            <w:vAlign w:val="center"/>
          </w:tcPr>
          <w:p w14:paraId="6A256DAC" w14:textId="77777777" w:rsidR="0024183A" w:rsidRPr="00E70817" w:rsidRDefault="003C564C" w:rsidP="00E70817">
            <w:pPr>
              <w:rPr>
                <w:sz w:val="20"/>
                <w:szCs w:val="20"/>
                <w:lang w:val="en-US"/>
              </w:rPr>
            </w:pPr>
            <w:r>
              <w:rPr>
                <w:sz w:val="20"/>
                <w:szCs w:val="20"/>
                <w:lang w:val="en-US"/>
              </w:rPr>
              <w:t>Number one food and drink company in the world in terms of sales and coffee market. A big player in the pet food business</w:t>
            </w:r>
          </w:p>
        </w:tc>
      </w:tr>
      <w:tr w:rsidR="0024183A" w:rsidRPr="00E70817" w14:paraId="16420A5E" w14:textId="77777777" w:rsidTr="002B536F">
        <w:trPr>
          <w:jc w:val="center"/>
        </w:trPr>
        <w:tc>
          <w:tcPr>
            <w:tcW w:w="456" w:type="dxa"/>
            <w:vAlign w:val="center"/>
          </w:tcPr>
          <w:p w14:paraId="02F5F1B6" w14:textId="77777777" w:rsidR="0024183A" w:rsidRPr="00E70817" w:rsidRDefault="0024183A" w:rsidP="00E70817">
            <w:pPr>
              <w:jc w:val="center"/>
              <w:rPr>
                <w:sz w:val="20"/>
                <w:szCs w:val="20"/>
              </w:rPr>
            </w:pPr>
            <w:r w:rsidRPr="00E70817">
              <w:rPr>
                <w:sz w:val="20"/>
                <w:szCs w:val="20"/>
              </w:rPr>
              <w:t>10</w:t>
            </w:r>
          </w:p>
        </w:tc>
        <w:tc>
          <w:tcPr>
            <w:tcW w:w="1949" w:type="dxa"/>
            <w:vAlign w:val="center"/>
          </w:tcPr>
          <w:p w14:paraId="30468CAA" w14:textId="77777777" w:rsidR="0024183A" w:rsidRPr="00E70817" w:rsidRDefault="00E70817" w:rsidP="00E70817">
            <w:pPr>
              <w:rPr>
                <w:sz w:val="20"/>
                <w:szCs w:val="20"/>
                <w:lang w:val="en-US"/>
              </w:rPr>
            </w:pPr>
            <w:r w:rsidRPr="00E70817">
              <w:rPr>
                <w:sz w:val="20"/>
                <w:szCs w:val="20"/>
                <w:lang w:val="en-US"/>
              </w:rPr>
              <w:t>PepsiCo</w:t>
            </w:r>
          </w:p>
        </w:tc>
        <w:tc>
          <w:tcPr>
            <w:tcW w:w="7088" w:type="dxa"/>
            <w:vAlign w:val="center"/>
          </w:tcPr>
          <w:p w14:paraId="1D8F1C6C" w14:textId="77777777" w:rsidR="0024183A" w:rsidRPr="00E70817" w:rsidRDefault="008A1705" w:rsidP="00E70817">
            <w:pPr>
              <w:rPr>
                <w:sz w:val="20"/>
                <w:szCs w:val="20"/>
                <w:lang w:val="en-US"/>
              </w:rPr>
            </w:pPr>
            <w:r>
              <w:rPr>
                <w:sz w:val="20"/>
                <w:szCs w:val="20"/>
                <w:lang w:val="en-US"/>
              </w:rPr>
              <w:t xml:space="preserve">Leading global food and beverage company. Distributes </w:t>
            </w:r>
            <w:r w:rsidR="005624F9">
              <w:rPr>
                <w:sz w:val="20"/>
                <w:szCs w:val="20"/>
                <w:lang w:val="en-US"/>
              </w:rPr>
              <w:t>products in more than 200 countries through direct-store delivery. Owns numerus valuable trademarks.</w:t>
            </w:r>
          </w:p>
        </w:tc>
      </w:tr>
      <w:tr w:rsidR="0024183A" w:rsidRPr="002B55AC" w14:paraId="217F9FC1" w14:textId="77777777" w:rsidTr="002B536F">
        <w:trPr>
          <w:jc w:val="center"/>
        </w:trPr>
        <w:tc>
          <w:tcPr>
            <w:tcW w:w="456" w:type="dxa"/>
            <w:vAlign w:val="center"/>
          </w:tcPr>
          <w:p w14:paraId="7E947549" w14:textId="77777777" w:rsidR="0024183A" w:rsidRPr="00E70817" w:rsidRDefault="0024183A" w:rsidP="00E70817">
            <w:pPr>
              <w:jc w:val="center"/>
              <w:rPr>
                <w:sz w:val="20"/>
                <w:szCs w:val="20"/>
              </w:rPr>
            </w:pPr>
            <w:r w:rsidRPr="00E70817">
              <w:rPr>
                <w:sz w:val="20"/>
                <w:szCs w:val="20"/>
              </w:rPr>
              <w:t>11</w:t>
            </w:r>
          </w:p>
        </w:tc>
        <w:tc>
          <w:tcPr>
            <w:tcW w:w="1949" w:type="dxa"/>
            <w:vAlign w:val="center"/>
          </w:tcPr>
          <w:p w14:paraId="20647A1E" w14:textId="77777777" w:rsidR="0024183A" w:rsidRPr="00E70817" w:rsidRDefault="00E70817" w:rsidP="00E70817">
            <w:pPr>
              <w:rPr>
                <w:sz w:val="20"/>
                <w:szCs w:val="20"/>
                <w:lang w:val="en-US"/>
              </w:rPr>
            </w:pPr>
            <w:r w:rsidRPr="00E70817">
              <w:rPr>
                <w:sz w:val="20"/>
                <w:szCs w:val="20"/>
                <w:lang w:val="en-US"/>
              </w:rPr>
              <w:t>Unilever</w:t>
            </w:r>
          </w:p>
        </w:tc>
        <w:tc>
          <w:tcPr>
            <w:tcW w:w="7088" w:type="dxa"/>
            <w:vAlign w:val="center"/>
          </w:tcPr>
          <w:p w14:paraId="49AD8978" w14:textId="77777777" w:rsidR="0024183A" w:rsidRPr="00E70817" w:rsidRDefault="005624F9" w:rsidP="00E70817">
            <w:pPr>
              <w:rPr>
                <w:sz w:val="20"/>
                <w:szCs w:val="20"/>
                <w:lang w:val="en-US"/>
              </w:rPr>
            </w:pPr>
            <w:r>
              <w:rPr>
                <w:sz w:val="20"/>
                <w:szCs w:val="20"/>
                <w:lang w:val="en-US"/>
              </w:rPr>
              <w:t>One of the world’s leading suppliers of food, home and personal care products. Its portfolio includes some of the world’s best-known brands.</w:t>
            </w:r>
          </w:p>
        </w:tc>
      </w:tr>
      <w:tr w:rsidR="0024183A" w:rsidRPr="002B55AC" w14:paraId="149FC785" w14:textId="77777777" w:rsidTr="002B536F">
        <w:trPr>
          <w:jc w:val="center"/>
        </w:trPr>
        <w:tc>
          <w:tcPr>
            <w:tcW w:w="456" w:type="dxa"/>
            <w:vAlign w:val="center"/>
          </w:tcPr>
          <w:p w14:paraId="38207CD1" w14:textId="77777777" w:rsidR="0024183A" w:rsidRPr="00E70817" w:rsidRDefault="0024183A" w:rsidP="00E70817">
            <w:pPr>
              <w:jc w:val="center"/>
              <w:rPr>
                <w:sz w:val="20"/>
                <w:szCs w:val="20"/>
              </w:rPr>
            </w:pPr>
            <w:r w:rsidRPr="00E70817">
              <w:rPr>
                <w:sz w:val="20"/>
                <w:szCs w:val="20"/>
              </w:rPr>
              <w:t>12</w:t>
            </w:r>
          </w:p>
        </w:tc>
        <w:tc>
          <w:tcPr>
            <w:tcW w:w="1949" w:type="dxa"/>
            <w:vAlign w:val="center"/>
          </w:tcPr>
          <w:p w14:paraId="51611F43" w14:textId="77777777" w:rsidR="0024183A" w:rsidRPr="00E70817" w:rsidRDefault="00E70817" w:rsidP="00E70817">
            <w:pPr>
              <w:rPr>
                <w:sz w:val="20"/>
                <w:szCs w:val="20"/>
                <w:lang w:val="en-US"/>
              </w:rPr>
            </w:pPr>
            <w:r w:rsidRPr="00E70817">
              <w:rPr>
                <w:sz w:val="20"/>
                <w:szCs w:val="20"/>
                <w:lang w:val="en-US"/>
              </w:rPr>
              <w:t>Smucker</w:t>
            </w:r>
          </w:p>
        </w:tc>
        <w:tc>
          <w:tcPr>
            <w:tcW w:w="7088" w:type="dxa"/>
            <w:vAlign w:val="center"/>
          </w:tcPr>
          <w:p w14:paraId="15F9362B" w14:textId="77777777" w:rsidR="0024183A" w:rsidRPr="00E70817" w:rsidRDefault="003C564C" w:rsidP="00E70817">
            <w:pPr>
              <w:rPr>
                <w:sz w:val="20"/>
                <w:szCs w:val="20"/>
                <w:lang w:val="en-US"/>
              </w:rPr>
            </w:pPr>
            <w:r>
              <w:rPr>
                <w:sz w:val="20"/>
                <w:szCs w:val="20"/>
                <w:lang w:val="en-US"/>
              </w:rPr>
              <w:t xml:space="preserve">U.S. retail coffee, U.S. retail consumer foods, international foodservice </w:t>
            </w:r>
          </w:p>
        </w:tc>
      </w:tr>
    </w:tbl>
    <w:p w14:paraId="50B6001F" w14:textId="77777777" w:rsidR="00AB399C" w:rsidRPr="00A46947" w:rsidRDefault="00A46947" w:rsidP="0069639D">
      <w:pPr>
        <w:spacing w:before="240" w:after="240" w:line="360" w:lineRule="auto"/>
        <w:rPr>
          <w:b/>
          <w:bCs/>
          <w:lang w:val="en-US"/>
        </w:rPr>
      </w:pPr>
      <w:r>
        <w:rPr>
          <w:b/>
          <w:bCs/>
          <w:lang w:val="en-US"/>
        </w:rPr>
        <w:t xml:space="preserve">1.2. </w:t>
      </w:r>
      <w:r w:rsidR="00AB399C" w:rsidRPr="00A46947">
        <w:rPr>
          <w:b/>
          <w:bCs/>
          <w:lang w:val="en-US"/>
        </w:rPr>
        <w:t>Growth Analysis</w:t>
      </w:r>
    </w:p>
    <w:p w14:paraId="712F980D" w14:textId="77777777" w:rsidR="00AB399C" w:rsidRDefault="00AB399C" w:rsidP="0069639D">
      <w:pPr>
        <w:spacing w:before="240" w:after="240" w:line="360" w:lineRule="auto"/>
        <w:rPr>
          <w:lang w:val="en-US"/>
        </w:rPr>
      </w:pPr>
      <w:r>
        <w:rPr>
          <w:noProof/>
        </w:rPr>
        <w:drawing>
          <wp:inline distT="0" distB="0" distL="0" distR="0" wp14:anchorId="720BCEF6" wp14:editId="4A0FB84A">
            <wp:extent cx="6120130" cy="2359152"/>
            <wp:effectExtent l="0" t="0" r="13970" b="15875"/>
            <wp:docPr id="1364598377" name="Диаграмма 1">
              <a:extLst xmlns:a="http://schemas.openxmlformats.org/drawingml/2006/main">
                <a:ext uri="{FF2B5EF4-FFF2-40B4-BE49-F238E27FC236}">
                  <a16:creationId xmlns:a16="http://schemas.microsoft.com/office/drawing/2014/main" id="{87E81399-FE4E-F119-23BF-18C0C3EA8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9E90F0D" w14:textId="77777777" w:rsidR="00A46947" w:rsidRDefault="00E60FF7" w:rsidP="002B55AC">
      <w:pPr>
        <w:spacing w:before="240" w:after="240" w:line="360" w:lineRule="auto"/>
        <w:ind w:firstLine="720"/>
        <w:jc w:val="both"/>
        <w:rPr>
          <w:lang w:val="en-US"/>
        </w:rPr>
      </w:pPr>
      <w:r>
        <w:rPr>
          <w:lang w:val="en-US"/>
        </w:rPr>
        <w:t xml:space="preserve">Performing growth-analysis we excluded Kraft due to unavailability of the data and Mondelez being an outlier. The graph above shows that </w:t>
      </w:r>
      <w:r w:rsidRPr="00A46947">
        <w:rPr>
          <w:i/>
          <w:iCs/>
          <w:lang w:val="en-US"/>
        </w:rPr>
        <w:t xml:space="preserve">General Mills, Kellogg, Nestle PepsiCo, Unilever and </w:t>
      </w:r>
      <w:r w:rsidRPr="00A46947">
        <w:rPr>
          <w:i/>
          <w:iCs/>
          <w:lang w:val="en-US"/>
        </w:rPr>
        <w:lastRenderedPageBreak/>
        <w:t>Smucker</w:t>
      </w:r>
      <w:r>
        <w:rPr>
          <w:lang w:val="en-US"/>
        </w:rPr>
        <w:t xml:space="preserve"> showed a very similar pattern during the observed period, while </w:t>
      </w:r>
      <w:r w:rsidRPr="00A46947">
        <w:rPr>
          <w:i/>
          <w:iCs/>
          <w:lang w:val="en-US"/>
        </w:rPr>
        <w:t>ConAgra Foods, Hershey and Group Danone</w:t>
      </w:r>
      <w:r>
        <w:rPr>
          <w:lang w:val="en-US"/>
        </w:rPr>
        <w:t xml:space="preserve"> seem to outperform Heinz</w:t>
      </w:r>
      <w:r w:rsidR="00A46947">
        <w:rPr>
          <w:lang w:val="en-US"/>
        </w:rPr>
        <w:t>,</w:t>
      </w:r>
      <w:r>
        <w:rPr>
          <w:lang w:val="en-US"/>
        </w:rPr>
        <w:t xml:space="preserve"> and </w:t>
      </w:r>
      <w:r w:rsidRPr="00A46947">
        <w:rPr>
          <w:i/>
          <w:iCs/>
          <w:lang w:val="en-US"/>
        </w:rPr>
        <w:t>Campbell with Nestle S.A.</w:t>
      </w:r>
      <w:r w:rsidR="00A46947">
        <w:rPr>
          <w:lang w:val="en-US"/>
        </w:rPr>
        <w:t xml:space="preserve"> – </w:t>
      </w:r>
      <w:r>
        <w:rPr>
          <w:lang w:val="en-US"/>
        </w:rPr>
        <w:t>underperform. Growth pattern mainly reflects the development stage that a company currently is being on</w:t>
      </w:r>
      <w:r w:rsidR="00A46947">
        <w:rPr>
          <w:lang w:val="en-US"/>
        </w:rPr>
        <w:t>. Therefore, in case of convergence in valuation results, the ones that are based on the companies with more similar growth pattens</w:t>
      </w:r>
      <w:r w:rsidR="004357B0">
        <w:rPr>
          <w:lang w:val="en-US"/>
        </w:rPr>
        <w:t xml:space="preserve"> are more preferable</w:t>
      </w:r>
      <w:r w:rsidR="00A46947">
        <w:rPr>
          <w:lang w:val="en-US"/>
        </w:rPr>
        <w:t>.</w:t>
      </w:r>
    </w:p>
    <w:p w14:paraId="0CF347F5" w14:textId="77777777" w:rsidR="00A46947" w:rsidRPr="00A46947" w:rsidRDefault="00A46947" w:rsidP="00A46947">
      <w:pPr>
        <w:spacing w:before="240" w:after="240" w:line="360" w:lineRule="auto"/>
        <w:rPr>
          <w:b/>
          <w:bCs/>
          <w:lang w:val="en-US"/>
        </w:rPr>
      </w:pPr>
      <w:r>
        <w:rPr>
          <w:b/>
          <w:bCs/>
          <w:lang w:val="en-US"/>
        </w:rPr>
        <w:t>1.</w:t>
      </w:r>
      <w:r w:rsidR="004C2882">
        <w:rPr>
          <w:b/>
          <w:bCs/>
          <w:lang w:val="en-US"/>
        </w:rPr>
        <w:t>3</w:t>
      </w:r>
      <w:r>
        <w:rPr>
          <w:b/>
          <w:bCs/>
          <w:lang w:val="en-US"/>
        </w:rPr>
        <w:t>. Ratios and Trading Multiples</w:t>
      </w:r>
    </w:p>
    <w:p w14:paraId="6C1C3A7F" w14:textId="77777777" w:rsidR="0069639D" w:rsidRDefault="0069639D" w:rsidP="002B55AC">
      <w:pPr>
        <w:spacing w:before="240" w:after="240" w:line="360" w:lineRule="auto"/>
        <w:ind w:firstLine="720"/>
        <w:jc w:val="both"/>
        <w:rPr>
          <w:lang w:val="en-US"/>
        </w:rPr>
      </w:pPr>
      <w:r>
        <w:rPr>
          <w:lang w:val="en-US"/>
        </w:rPr>
        <w:t>Several trading multiples and ratios</w:t>
      </w:r>
      <w:r w:rsidR="00AB399C">
        <w:rPr>
          <w:lang w:val="en-US"/>
        </w:rPr>
        <w:t xml:space="preserve"> for the 2012 financial year </w:t>
      </w:r>
      <w:r>
        <w:rPr>
          <w:lang w:val="en-US"/>
        </w:rPr>
        <w:t xml:space="preserve">will be used to </w:t>
      </w:r>
      <w:r w:rsidR="00AB399C">
        <w:rPr>
          <w:lang w:val="en-US"/>
        </w:rPr>
        <w:t xml:space="preserve">reflect the market conditions and </w:t>
      </w:r>
      <w:r>
        <w:rPr>
          <w:lang w:val="en-US"/>
        </w:rPr>
        <w:t>make the valuation of Nestle</w:t>
      </w:r>
      <w:r w:rsidR="00A46947">
        <w:rPr>
          <w:lang w:val="en-US"/>
        </w:rPr>
        <w:t>,</w:t>
      </w:r>
      <w:r>
        <w:rPr>
          <w:lang w:val="en-US"/>
        </w:rPr>
        <w:t xml:space="preserve"> comparable to its peers</w:t>
      </w:r>
      <w:r w:rsidR="00AB399C">
        <w:rPr>
          <w:lang w:val="en-US"/>
        </w:rPr>
        <w:t>.</w:t>
      </w:r>
      <w:r w:rsidR="00FC12DA">
        <w:rPr>
          <w:lang w:val="en-US"/>
        </w:rPr>
        <w:t xml:space="preserve"> We will use median </w:t>
      </w:r>
      <w:r w:rsidR="0031702E">
        <w:rPr>
          <w:lang w:val="en-US"/>
        </w:rPr>
        <w:t>in our calculations.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0"/>
        <w:gridCol w:w="1338"/>
        <w:gridCol w:w="1574"/>
        <w:gridCol w:w="1458"/>
        <w:gridCol w:w="1266"/>
        <w:gridCol w:w="1266"/>
        <w:gridCol w:w="1266"/>
      </w:tblGrid>
      <w:tr w:rsidR="00A46947" w:rsidRPr="0033044C" w14:paraId="11101364" w14:textId="77777777" w:rsidTr="00331277">
        <w:tc>
          <w:tcPr>
            <w:tcW w:w="1460" w:type="dxa"/>
            <w:tcBorders>
              <w:bottom w:val="single" w:sz="4" w:space="0" w:color="auto"/>
            </w:tcBorders>
          </w:tcPr>
          <w:p w14:paraId="11FD18B2" w14:textId="77777777" w:rsidR="00A46947" w:rsidRPr="0033044C" w:rsidRDefault="00A46947" w:rsidP="0069639D">
            <w:pPr>
              <w:spacing w:line="360" w:lineRule="auto"/>
              <w:rPr>
                <w:b/>
                <w:bCs/>
                <w:sz w:val="20"/>
                <w:szCs w:val="20"/>
                <w:lang w:val="en-US"/>
              </w:rPr>
            </w:pPr>
            <w:r w:rsidRPr="0033044C">
              <w:rPr>
                <w:b/>
                <w:bCs/>
                <w:sz w:val="20"/>
                <w:szCs w:val="20"/>
                <w:lang w:val="en-US"/>
              </w:rPr>
              <w:t>Multiple</w:t>
            </w:r>
          </w:p>
        </w:tc>
        <w:tc>
          <w:tcPr>
            <w:tcW w:w="1338" w:type="dxa"/>
            <w:tcBorders>
              <w:bottom w:val="single" w:sz="4" w:space="0" w:color="auto"/>
            </w:tcBorders>
          </w:tcPr>
          <w:p w14:paraId="35A91033" w14:textId="77777777" w:rsidR="00A46947" w:rsidRPr="0033044C" w:rsidRDefault="00A46947" w:rsidP="0069639D">
            <w:pPr>
              <w:spacing w:line="360" w:lineRule="auto"/>
              <w:rPr>
                <w:b/>
                <w:bCs/>
                <w:sz w:val="20"/>
                <w:szCs w:val="20"/>
                <w:lang w:val="en-US"/>
              </w:rPr>
            </w:pPr>
            <w:r w:rsidRPr="0033044C">
              <w:rPr>
                <w:b/>
                <w:bCs/>
                <w:sz w:val="20"/>
                <w:szCs w:val="20"/>
                <w:lang w:val="en-US"/>
              </w:rPr>
              <w:t>P/E</w:t>
            </w:r>
          </w:p>
        </w:tc>
        <w:tc>
          <w:tcPr>
            <w:tcW w:w="1574" w:type="dxa"/>
            <w:tcBorders>
              <w:bottom w:val="single" w:sz="4" w:space="0" w:color="auto"/>
            </w:tcBorders>
          </w:tcPr>
          <w:p w14:paraId="31DF3C76" w14:textId="77777777" w:rsidR="00A46947" w:rsidRPr="0033044C" w:rsidRDefault="00A46947" w:rsidP="0069639D">
            <w:pPr>
              <w:spacing w:line="360" w:lineRule="auto"/>
              <w:rPr>
                <w:b/>
                <w:bCs/>
                <w:sz w:val="20"/>
                <w:szCs w:val="20"/>
                <w:lang w:val="en-US"/>
              </w:rPr>
            </w:pPr>
            <w:r w:rsidRPr="0033044C">
              <w:rPr>
                <w:b/>
                <w:bCs/>
                <w:sz w:val="20"/>
                <w:szCs w:val="20"/>
                <w:lang w:val="en-US"/>
              </w:rPr>
              <w:t>EV/EBITDA</w:t>
            </w:r>
          </w:p>
        </w:tc>
        <w:tc>
          <w:tcPr>
            <w:tcW w:w="1458" w:type="dxa"/>
            <w:tcBorders>
              <w:bottom w:val="single" w:sz="4" w:space="0" w:color="auto"/>
            </w:tcBorders>
          </w:tcPr>
          <w:p w14:paraId="5C1F3CBA" w14:textId="77777777" w:rsidR="00A46947" w:rsidRPr="00FC12DA" w:rsidRDefault="00A46947" w:rsidP="0069639D">
            <w:pPr>
              <w:spacing w:line="360" w:lineRule="auto"/>
              <w:rPr>
                <w:b/>
                <w:bCs/>
                <w:sz w:val="20"/>
                <w:szCs w:val="20"/>
                <w:lang w:val="en-US"/>
              </w:rPr>
            </w:pPr>
            <w:r w:rsidRPr="00FC12DA">
              <w:rPr>
                <w:b/>
                <w:bCs/>
                <w:sz w:val="20"/>
                <w:szCs w:val="20"/>
                <w:lang w:val="en-US"/>
              </w:rPr>
              <w:t>EV/FCF</w:t>
            </w:r>
          </w:p>
        </w:tc>
        <w:tc>
          <w:tcPr>
            <w:tcW w:w="1266" w:type="dxa"/>
            <w:tcBorders>
              <w:bottom w:val="single" w:sz="4" w:space="0" w:color="auto"/>
            </w:tcBorders>
          </w:tcPr>
          <w:p w14:paraId="35699ED0" w14:textId="77777777" w:rsidR="00A46947" w:rsidRPr="0033044C" w:rsidRDefault="00A46947" w:rsidP="0069639D">
            <w:pPr>
              <w:spacing w:line="360" w:lineRule="auto"/>
              <w:rPr>
                <w:b/>
                <w:bCs/>
                <w:sz w:val="20"/>
                <w:szCs w:val="20"/>
                <w:lang w:val="en-US"/>
              </w:rPr>
            </w:pPr>
            <w:r w:rsidRPr="0033044C">
              <w:rPr>
                <w:b/>
                <w:bCs/>
                <w:sz w:val="20"/>
                <w:szCs w:val="20"/>
                <w:lang w:val="en-US"/>
              </w:rPr>
              <w:t>P/B</w:t>
            </w:r>
          </w:p>
        </w:tc>
        <w:tc>
          <w:tcPr>
            <w:tcW w:w="1266" w:type="dxa"/>
            <w:tcBorders>
              <w:bottom w:val="single" w:sz="4" w:space="0" w:color="auto"/>
            </w:tcBorders>
          </w:tcPr>
          <w:p w14:paraId="2FFE52FA" w14:textId="77777777" w:rsidR="00A46947" w:rsidRPr="0033044C" w:rsidRDefault="00A46947" w:rsidP="0069639D">
            <w:pPr>
              <w:spacing w:line="360" w:lineRule="auto"/>
              <w:rPr>
                <w:b/>
                <w:bCs/>
                <w:sz w:val="20"/>
                <w:szCs w:val="20"/>
                <w:lang w:val="en-US"/>
              </w:rPr>
            </w:pPr>
            <w:r w:rsidRPr="0033044C">
              <w:rPr>
                <w:b/>
                <w:bCs/>
                <w:sz w:val="20"/>
                <w:szCs w:val="20"/>
                <w:lang w:val="en-US"/>
              </w:rPr>
              <w:t>P/S</w:t>
            </w:r>
          </w:p>
        </w:tc>
        <w:tc>
          <w:tcPr>
            <w:tcW w:w="1266" w:type="dxa"/>
            <w:tcBorders>
              <w:bottom w:val="single" w:sz="4" w:space="0" w:color="auto"/>
            </w:tcBorders>
          </w:tcPr>
          <w:p w14:paraId="4AC20A40" w14:textId="77777777" w:rsidR="00A46947" w:rsidRPr="00FC12DA" w:rsidRDefault="00A46947" w:rsidP="0069639D">
            <w:pPr>
              <w:spacing w:line="360" w:lineRule="auto"/>
              <w:rPr>
                <w:b/>
                <w:bCs/>
                <w:sz w:val="20"/>
                <w:szCs w:val="20"/>
                <w:lang w:val="en-US"/>
              </w:rPr>
            </w:pPr>
            <w:r w:rsidRPr="00FC12DA">
              <w:rPr>
                <w:b/>
                <w:bCs/>
                <w:sz w:val="20"/>
                <w:szCs w:val="20"/>
                <w:lang w:val="en-US"/>
              </w:rPr>
              <w:t>PEG</w:t>
            </w:r>
          </w:p>
        </w:tc>
      </w:tr>
      <w:tr w:rsidR="00A46947" w:rsidRPr="0033044C" w14:paraId="06B4C516" w14:textId="77777777" w:rsidTr="00331277">
        <w:tc>
          <w:tcPr>
            <w:tcW w:w="1460" w:type="dxa"/>
            <w:tcBorders>
              <w:top w:val="single" w:sz="4" w:space="0" w:color="auto"/>
            </w:tcBorders>
          </w:tcPr>
          <w:p w14:paraId="30C4AA83" w14:textId="77777777" w:rsidR="00A46947" w:rsidRPr="0033044C" w:rsidRDefault="00A46947" w:rsidP="0069639D">
            <w:pPr>
              <w:spacing w:line="360" w:lineRule="auto"/>
              <w:rPr>
                <w:sz w:val="20"/>
                <w:szCs w:val="20"/>
                <w:lang w:val="en-US"/>
              </w:rPr>
            </w:pPr>
            <w:r w:rsidRPr="0033044C">
              <w:rPr>
                <w:sz w:val="20"/>
                <w:szCs w:val="20"/>
                <w:lang w:val="en-US"/>
              </w:rPr>
              <w:t>Mean</w:t>
            </w:r>
          </w:p>
        </w:tc>
        <w:tc>
          <w:tcPr>
            <w:tcW w:w="1338" w:type="dxa"/>
            <w:tcBorders>
              <w:top w:val="single" w:sz="4" w:space="0" w:color="auto"/>
            </w:tcBorders>
          </w:tcPr>
          <w:p w14:paraId="03CE2C80" w14:textId="77777777" w:rsidR="00A46947" w:rsidRPr="0033044C" w:rsidRDefault="0033044C" w:rsidP="0069639D">
            <w:pPr>
              <w:spacing w:line="360" w:lineRule="auto"/>
              <w:rPr>
                <w:sz w:val="20"/>
                <w:szCs w:val="20"/>
                <w:lang w:val="en-US"/>
              </w:rPr>
            </w:pPr>
            <w:r w:rsidRPr="0033044C">
              <w:rPr>
                <w:sz w:val="20"/>
                <w:szCs w:val="20"/>
                <w:lang w:val="en-US"/>
              </w:rPr>
              <w:t>15.8x</w:t>
            </w:r>
          </w:p>
        </w:tc>
        <w:tc>
          <w:tcPr>
            <w:tcW w:w="1574" w:type="dxa"/>
            <w:tcBorders>
              <w:top w:val="single" w:sz="4" w:space="0" w:color="auto"/>
            </w:tcBorders>
          </w:tcPr>
          <w:p w14:paraId="178DD3DD" w14:textId="77777777" w:rsidR="00A46947" w:rsidRPr="0033044C" w:rsidRDefault="0033044C" w:rsidP="0069639D">
            <w:pPr>
              <w:spacing w:line="360" w:lineRule="auto"/>
              <w:rPr>
                <w:sz w:val="20"/>
                <w:szCs w:val="20"/>
                <w:lang w:val="en-US"/>
              </w:rPr>
            </w:pPr>
            <w:r w:rsidRPr="0033044C">
              <w:rPr>
                <w:sz w:val="20"/>
                <w:szCs w:val="20"/>
                <w:lang w:val="en-US"/>
              </w:rPr>
              <w:t>10.2x</w:t>
            </w:r>
          </w:p>
        </w:tc>
        <w:tc>
          <w:tcPr>
            <w:tcW w:w="1458" w:type="dxa"/>
            <w:tcBorders>
              <w:top w:val="single" w:sz="4" w:space="0" w:color="auto"/>
            </w:tcBorders>
          </w:tcPr>
          <w:p w14:paraId="370582F4" w14:textId="77777777" w:rsidR="00A46947" w:rsidRPr="00FC12DA" w:rsidRDefault="0033044C" w:rsidP="0069639D">
            <w:pPr>
              <w:spacing w:line="360" w:lineRule="auto"/>
              <w:rPr>
                <w:sz w:val="20"/>
                <w:szCs w:val="20"/>
                <w:lang w:val="en-US"/>
              </w:rPr>
            </w:pPr>
            <w:r w:rsidRPr="00FC12DA">
              <w:rPr>
                <w:sz w:val="20"/>
                <w:szCs w:val="20"/>
                <w:lang w:val="en-US"/>
              </w:rPr>
              <w:t>24.9x</w:t>
            </w:r>
          </w:p>
        </w:tc>
        <w:tc>
          <w:tcPr>
            <w:tcW w:w="1266" w:type="dxa"/>
            <w:tcBorders>
              <w:top w:val="single" w:sz="4" w:space="0" w:color="auto"/>
            </w:tcBorders>
          </w:tcPr>
          <w:p w14:paraId="697D90EC" w14:textId="77777777" w:rsidR="00A46947" w:rsidRPr="0033044C" w:rsidRDefault="0033044C" w:rsidP="0069639D">
            <w:pPr>
              <w:spacing w:line="360" w:lineRule="auto"/>
              <w:rPr>
                <w:sz w:val="20"/>
                <w:szCs w:val="20"/>
                <w:lang w:val="en-US"/>
              </w:rPr>
            </w:pPr>
            <w:r w:rsidRPr="0033044C">
              <w:rPr>
                <w:sz w:val="20"/>
                <w:szCs w:val="20"/>
                <w:lang w:val="en-US"/>
              </w:rPr>
              <w:t>5.8x</w:t>
            </w:r>
          </w:p>
        </w:tc>
        <w:tc>
          <w:tcPr>
            <w:tcW w:w="1266" w:type="dxa"/>
            <w:tcBorders>
              <w:top w:val="single" w:sz="4" w:space="0" w:color="auto"/>
            </w:tcBorders>
          </w:tcPr>
          <w:p w14:paraId="112D961D" w14:textId="77777777" w:rsidR="00A46947" w:rsidRPr="0033044C" w:rsidRDefault="0033044C" w:rsidP="0069639D">
            <w:pPr>
              <w:spacing w:line="360" w:lineRule="auto"/>
              <w:rPr>
                <w:sz w:val="20"/>
                <w:szCs w:val="20"/>
                <w:lang w:val="en-US"/>
              </w:rPr>
            </w:pPr>
            <w:r w:rsidRPr="0033044C">
              <w:rPr>
                <w:sz w:val="20"/>
                <w:szCs w:val="20"/>
                <w:lang w:val="en-US"/>
              </w:rPr>
              <w:t>1.6x</w:t>
            </w:r>
          </w:p>
        </w:tc>
        <w:tc>
          <w:tcPr>
            <w:tcW w:w="1266" w:type="dxa"/>
            <w:tcBorders>
              <w:top w:val="single" w:sz="4" w:space="0" w:color="auto"/>
            </w:tcBorders>
          </w:tcPr>
          <w:p w14:paraId="1CE48AFD" w14:textId="77777777" w:rsidR="00A46947" w:rsidRPr="00FC12DA" w:rsidRDefault="0033044C" w:rsidP="0069639D">
            <w:pPr>
              <w:spacing w:line="360" w:lineRule="auto"/>
              <w:rPr>
                <w:sz w:val="20"/>
                <w:szCs w:val="20"/>
                <w:lang w:val="en-US"/>
              </w:rPr>
            </w:pPr>
            <w:r w:rsidRPr="00FC12DA">
              <w:rPr>
                <w:sz w:val="20"/>
                <w:szCs w:val="20"/>
                <w:lang w:val="en-US"/>
              </w:rPr>
              <w:t>5.8x</w:t>
            </w:r>
          </w:p>
        </w:tc>
      </w:tr>
      <w:tr w:rsidR="00A46947" w:rsidRPr="0033044C" w14:paraId="1B1553C9" w14:textId="77777777" w:rsidTr="00331277">
        <w:tc>
          <w:tcPr>
            <w:tcW w:w="1460" w:type="dxa"/>
          </w:tcPr>
          <w:p w14:paraId="5FF980CE" w14:textId="77777777" w:rsidR="00A46947" w:rsidRPr="0033044C" w:rsidRDefault="00A46947" w:rsidP="0069639D">
            <w:pPr>
              <w:spacing w:line="360" w:lineRule="auto"/>
              <w:rPr>
                <w:sz w:val="20"/>
                <w:szCs w:val="20"/>
                <w:lang w:val="en-US"/>
              </w:rPr>
            </w:pPr>
            <w:r w:rsidRPr="0033044C">
              <w:rPr>
                <w:sz w:val="20"/>
                <w:szCs w:val="20"/>
                <w:lang w:val="en-US"/>
              </w:rPr>
              <w:t>Median</w:t>
            </w:r>
          </w:p>
        </w:tc>
        <w:tc>
          <w:tcPr>
            <w:tcW w:w="1338" w:type="dxa"/>
          </w:tcPr>
          <w:p w14:paraId="01CF584C" w14:textId="77777777" w:rsidR="00A46947" w:rsidRPr="0033044C" w:rsidRDefault="0033044C" w:rsidP="0069639D">
            <w:pPr>
              <w:spacing w:line="360" w:lineRule="auto"/>
              <w:rPr>
                <w:sz w:val="20"/>
                <w:szCs w:val="20"/>
                <w:lang w:val="en-US"/>
              </w:rPr>
            </w:pPr>
            <w:r w:rsidRPr="0033044C">
              <w:rPr>
                <w:sz w:val="20"/>
                <w:szCs w:val="20"/>
                <w:lang w:val="en-US"/>
              </w:rPr>
              <w:t>15.1x</w:t>
            </w:r>
          </w:p>
        </w:tc>
        <w:tc>
          <w:tcPr>
            <w:tcW w:w="1574" w:type="dxa"/>
          </w:tcPr>
          <w:p w14:paraId="0A7B1FF3" w14:textId="77777777" w:rsidR="00A46947" w:rsidRPr="0033044C" w:rsidRDefault="0033044C" w:rsidP="0069639D">
            <w:pPr>
              <w:spacing w:line="360" w:lineRule="auto"/>
              <w:rPr>
                <w:sz w:val="20"/>
                <w:szCs w:val="20"/>
                <w:lang w:val="en-US"/>
              </w:rPr>
            </w:pPr>
            <w:r w:rsidRPr="0033044C">
              <w:rPr>
                <w:sz w:val="20"/>
                <w:szCs w:val="20"/>
                <w:lang w:val="en-US"/>
              </w:rPr>
              <w:t>10.1x</w:t>
            </w:r>
          </w:p>
        </w:tc>
        <w:tc>
          <w:tcPr>
            <w:tcW w:w="1458" w:type="dxa"/>
          </w:tcPr>
          <w:p w14:paraId="30855392" w14:textId="77777777" w:rsidR="00A46947" w:rsidRPr="00FC12DA" w:rsidRDefault="0033044C" w:rsidP="0069639D">
            <w:pPr>
              <w:spacing w:line="360" w:lineRule="auto"/>
              <w:rPr>
                <w:sz w:val="20"/>
                <w:szCs w:val="20"/>
                <w:lang w:val="en-US"/>
              </w:rPr>
            </w:pPr>
            <w:r w:rsidRPr="00FC12DA">
              <w:rPr>
                <w:sz w:val="20"/>
                <w:szCs w:val="20"/>
                <w:lang w:val="en-US"/>
              </w:rPr>
              <w:t>22.6x</w:t>
            </w:r>
          </w:p>
        </w:tc>
        <w:tc>
          <w:tcPr>
            <w:tcW w:w="1266" w:type="dxa"/>
          </w:tcPr>
          <w:p w14:paraId="05E3CB8B" w14:textId="77777777" w:rsidR="00A46947" w:rsidRPr="0033044C" w:rsidRDefault="0033044C" w:rsidP="0069639D">
            <w:pPr>
              <w:spacing w:line="360" w:lineRule="auto"/>
              <w:rPr>
                <w:sz w:val="20"/>
                <w:szCs w:val="20"/>
                <w:lang w:val="en-US"/>
              </w:rPr>
            </w:pPr>
            <w:r w:rsidRPr="0033044C">
              <w:rPr>
                <w:sz w:val="20"/>
                <w:szCs w:val="20"/>
                <w:lang w:val="en-US"/>
              </w:rPr>
              <w:t>4.3x</w:t>
            </w:r>
          </w:p>
        </w:tc>
        <w:tc>
          <w:tcPr>
            <w:tcW w:w="1266" w:type="dxa"/>
          </w:tcPr>
          <w:p w14:paraId="0F0450FA" w14:textId="77777777" w:rsidR="00A46947" w:rsidRPr="0033044C" w:rsidRDefault="0033044C" w:rsidP="0069639D">
            <w:pPr>
              <w:spacing w:line="360" w:lineRule="auto"/>
              <w:rPr>
                <w:sz w:val="20"/>
                <w:szCs w:val="20"/>
                <w:lang w:val="en-US"/>
              </w:rPr>
            </w:pPr>
            <w:r w:rsidRPr="0033044C">
              <w:rPr>
                <w:sz w:val="20"/>
                <w:szCs w:val="20"/>
                <w:lang w:val="en-US"/>
              </w:rPr>
              <w:t>1.5x</w:t>
            </w:r>
          </w:p>
        </w:tc>
        <w:tc>
          <w:tcPr>
            <w:tcW w:w="1266" w:type="dxa"/>
          </w:tcPr>
          <w:p w14:paraId="33A34EDD" w14:textId="77777777" w:rsidR="00A46947" w:rsidRPr="00FC12DA" w:rsidRDefault="0033044C" w:rsidP="0069639D">
            <w:pPr>
              <w:spacing w:line="360" w:lineRule="auto"/>
              <w:rPr>
                <w:sz w:val="20"/>
                <w:szCs w:val="20"/>
                <w:lang w:val="en-US"/>
              </w:rPr>
            </w:pPr>
            <w:r w:rsidRPr="00FC12DA">
              <w:rPr>
                <w:sz w:val="20"/>
                <w:szCs w:val="20"/>
                <w:lang w:val="en-US"/>
              </w:rPr>
              <w:t>4.3x</w:t>
            </w:r>
          </w:p>
        </w:tc>
      </w:tr>
    </w:tbl>
    <w:p w14:paraId="1C3BF989" w14:textId="77777777" w:rsidR="0069639D" w:rsidRDefault="0033044C" w:rsidP="00331277">
      <w:pPr>
        <w:spacing w:before="240" w:after="240" w:line="360" w:lineRule="auto"/>
        <w:ind w:firstLine="708"/>
        <w:rPr>
          <w:lang w:val="en-US"/>
        </w:rPr>
      </w:pPr>
      <w:r>
        <w:rPr>
          <w:lang w:val="en-US"/>
        </w:rPr>
        <w:t>Nestle Financials</w:t>
      </w:r>
      <w:r w:rsidR="004C2882">
        <w:rPr>
          <w:lang w:val="en-US"/>
        </w:rPr>
        <w:t xml:space="preserve"> (last 12 months):</w:t>
      </w:r>
    </w:p>
    <w:tbl>
      <w:tblPr>
        <w:tblStyle w:val="TableGrid"/>
        <w:tblW w:w="9634" w:type="dxa"/>
        <w:tblLook w:val="04A0" w:firstRow="1" w:lastRow="0" w:firstColumn="1" w:lastColumn="0" w:noHBand="0" w:noVBand="1"/>
      </w:tblPr>
      <w:tblGrid>
        <w:gridCol w:w="1338"/>
        <w:gridCol w:w="1574"/>
        <w:gridCol w:w="1619"/>
        <w:gridCol w:w="1560"/>
        <w:gridCol w:w="1559"/>
        <w:gridCol w:w="1984"/>
      </w:tblGrid>
      <w:tr w:rsidR="0033044C" w:rsidRPr="0033044C" w14:paraId="2591409A" w14:textId="77777777" w:rsidTr="00331277">
        <w:tc>
          <w:tcPr>
            <w:tcW w:w="1338" w:type="dxa"/>
          </w:tcPr>
          <w:p w14:paraId="43E0BEBE" w14:textId="77777777" w:rsidR="0033044C" w:rsidRPr="0033044C" w:rsidRDefault="0033044C" w:rsidP="004C729B">
            <w:pPr>
              <w:spacing w:line="360" w:lineRule="auto"/>
              <w:rPr>
                <w:b/>
                <w:bCs/>
                <w:sz w:val="20"/>
                <w:szCs w:val="20"/>
                <w:lang w:val="en-US"/>
              </w:rPr>
            </w:pPr>
            <w:r>
              <w:rPr>
                <w:b/>
                <w:bCs/>
                <w:sz w:val="20"/>
                <w:szCs w:val="20"/>
                <w:lang w:val="en-US"/>
              </w:rPr>
              <w:t>ESP</w:t>
            </w:r>
          </w:p>
        </w:tc>
        <w:tc>
          <w:tcPr>
            <w:tcW w:w="1574" w:type="dxa"/>
          </w:tcPr>
          <w:p w14:paraId="20026989" w14:textId="77777777" w:rsidR="0033044C" w:rsidRPr="0033044C" w:rsidRDefault="0033044C" w:rsidP="004C729B">
            <w:pPr>
              <w:spacing w:line="360" w:lineRule="auto"/>
              <w:rPr>
                <w:b/>
                <w:bCs/>
                <w:sz w:val="20"/>
                <w:szCs w:val="20"/>
                <w:lang w:val="en-US"/>
              </w:rPr>
            </w:pPr>
            <w:r w:rsidRPr="0033044C">
              <w:rPr>
                <w:b/>
                <w:bCs/>
                <w:sz w:val="20"/>
                <w:szCs w:val="20"/>
                <w:lang w:val="en-US"/>
              </w:rPr>
              <w:t>EBITDA</w:t>
            </w:r>
          </w:p>
        </w:tc>
        <w:tc>
          <w:tcPr>
            <w:tcW w:w="1619" w:type="dxa"/>
          </w:tcPr>
          <w:p w14:paraId="17977B26" w14:textId="77777777" w:rsidR="0033044C" w:rsidRPr="0033044C" w:rsidRDefault="00FC12DA" w:rsidP="004C729B">
            <w:pPr>
              <w:spacing w:line="360" w:lineRule="auto"/>
              <w:rPr>
                <w:b/>
                <w:bCs/>
                <w:sz w:val="20"/>
                <w:szCs w:val="20"/>
                <w:lang w:val="en-US"/>
              </w:rPr>
            </w:pPr>
            <w:r>
              <w:rPr>
                <w:b/>
                <w:bCs/>
                <w:sz w:val="20"/>
                <w:szCs w:val="20"/>
                <w:lang w:val="en-US"/>
              </w:rPr>
              <w:t>*</w:t>
            </w:r>
            <w:r w:rsidR="0033044C" w:rsidRPr="0033044C">
              <w:rPr>
                <w:b/>
                <w:bCs/>
                <w:sz w:val="20"/>
                <w:szCs w:val="20"/>
                <w:lang w:val="en-US"/>
              </w:rPr>
              <w:t>FCF</w:t>
            </w:r>
          </w:p>
        </w:tc>
        <w:tc>
          <w:tcPr>
            <w:tcW w:w="1560" w:type="dxa"/>
          </w:tcPr>
          <w:p w14:paraId="295C1422" w14:textId="77777777" w:rsidR="0033044C" w:rsidRPr="0033044C" w:rsidRDefault="0033044C" w:rsidP="004C729B">
            <w:pPr>
              <w:spacing w:line="360" w:lineRule="auto"/>
              <w:rPr>
                <w:b/>
                <w:bCs/>
                <w:sz w:val="20"/>
                <w:szCs w:val="20"/>
                <w:lang w:val="en-US"/>
              </w:rPr>
            </w:pPr>
            <w:r w:rsidRPr="0033044C">
              <w:rPr>
                <w:b/>
                <w:bCs/>
                <w:sz w:val="20"/>
                <w:szCs w:val="20"/>
                <w:lang w:val="en-US"/>
              </w:rPr>
              <w:t>B</w:t>
            </w:r>
            <w:r>
              <w:rPr>
                <w:b/>
                <w:bCs/>
                <w:sz w:val="20"/>
                <w:szCs w:val="20"/>
                <w:lang w:val="en-US"/>
              </w:rPr>
              <w:t>ook Value</w:t>
            </w:r>
          </w:p>
        </w:tc>
        <w:tc>
          <w:tcPr>
            <w:tcW w:w="1559" w:type="dxa"/>
          </w:tcPr>
          <w:p w14:paraId="4C7D2016" w14:textId="77777777" w:rsidR="0033044C" w:rsidRPr="0033044C" w:rsidRDefault="0033044C" w:rsidP="004C729B">
            <w:pPr>
              <w:spacing w:line="360" w:lineRule="auto"/>
              <w:rPr>
                <w:b/>
                <w:bCs/>
                <w:sz w:val="20"/>
                <w:szCs w:val="20"/>
                <w:lang w:val="en-US"/>
              </w:rPr>
            </w:pPr>
            <w:r w:rsidRPr="0033044C">
              <w:rPr>
                <w:b/>
                <w:bCs/>
                <w:sz w:val="20"/>
                <w:szCs w:val="20"/>
                <w:lang w:val="en-US"/>
              </w:rPr>
              <w:t>Sales</w:t>
            </w:r>
          </w:p>
        </w:tc>
        <w:tc>
          <w:tcPr>
            <w:tcW w:w="1984" w:type="dxa"/>
          </w:tcPr>
          <w:p w14:paraId="7744CD9F" w14:textId="77777777" w:rsidR="0033044C" w:rsidRPr="0033044C" w:rsidRDefault="0033044C" w:rsidP="004C729B">
            <w:pPr>
              <w:spacing w:line="360" w:lineRule="auto"/>
              <w:rPr>
                <w:b/>
                <w:bCs/>
                <w:sz w:val="20"/>
                <w:szCs w:val="20"/>
                <w:lang w:val="en-US"/>
              </w:rPr>
            </w:pPr>
            <w:r>
              <w:rPr>
                <w:b/>
                <w:bCs/>
                <w:sz w:val="20"/>
                <w:szCs w:val="20"/>
                <w:lang w:val="en-US"/>
              </w:rPr>
              <w:t>EGR in EPS</w:t>
            </w:r>
          </w:p>
        </w:tc>
      </w:tr>
      <w:tr w:rsidR="0033044C" w:rsidRPr="0033044C" w14:paraId="652AC2AA" w14:textId="77777777" w:rsidTr="00331277">
        <w:tc>
          <w:tcPr>
            <w:tcW w:w="1338" w:type="dxa"/>
          </w:tcPr>
          <w:p w14:paraId="506826E4" w14:textId="77777777" w:rsidR="0033044C" w:rsidRPr="0033044C" w:rsidRDefault="00FC12DA" w:rsidP="00331277">
            <w:pPr>
              <w:spacing w:line="360" w:lineRule="auto"/>
              <w:rPr>
                <w:sz w:val="20"/>
                <w:szCs w:val="20"/>
                <w:lang w:val="en-US"/>
              </w:rPr>
            </w:pPr>
            <w:r>
              <w:rPr>
                <w:sz w:val="20"/>
                <w:szCs w:val="20"/>
                <w:lang w:val="en-US"/>
              </w:rPr>
              <w:t>3.13</w:t>
            </w:r>
          </w:p>
        </w:tc>
        <w:tc>
          <w:tcPr>
            <w:tcW w:w="1574" w:type="dxa"/>
          </w:tcPr>
          <w:p w14:paraId="46A8D597" w14:textId="77777777" w:rsidR="0033044C" w:rsidRPr="0033044C" w:rsidRDefault="00FC12DA" w:rsidP="00331277">
            <w:pPr>
              <w:spacing w:line="360" w:lineRule="auto"/>
              <w:rPr>
                <w:sz w:val="20"/>
                <w:szCs w:val="20"/>
                <w:lang w:val="en-US"/>
              </w:rPr>
            </w:pPr>
            <w:r>
              <w:rPr>
                <w:sz w:val="20"/>
                <w:szCs w:val="20"/>
                <w:lang w:val="en-US"/>
              </w:rPr>
              <w:t>2 057</w:t>
            </w:r>
          </w:p>
        </w:tc>
        <w:tc>
          <w:tcPr>
            <w:tcW w:w="1619" w:type="dxa"/>
          </w:tcPr>
          <w:p w14:paraId="5616D6C0" w14:textId="77777777" w:rsidR="0033044C" w:rsidRPr="0033044C" w:rsidRDefault="00FC12DA" w:rsidP="00331277">
            <w:pPr>
              <w:spacing w:line="360" w:lineRule="auto"/>
              <w:rPr>
                <w:sz w:val="20"/>
                <w:szCs w:val="20"/>
                <w:lang w:val="en-US"/>
              </w:rPr>
            </w:pPr>
            <w:r>
              <w:rPr>
                <w:sz w:val="20"/>
                <w:szCs w:val="20"/>
                <w:lang w:val="en-US"/>
              </w:rPr>
              <w:t>1 463</w:t>
            </w:r>
          </w:p>
        </w:tc>
        <w:tc>
          <w:tcPr>
            <w:tcW w:w="1560" w:type="dxa"/>
          </w:tcPr>
          <w:p w14:paraId="453955DF" w14:textId="77777777" w:rsidR="0033044C" w:rsidRPr="0033044C" w:rsidRDefault="00FC12DA" w:rsidP="00331277">
            <w:pPr>
              <w:spacing w:line="360" w:lineRule="auto"/>
              <w:rPr>
                <w:sz w:val="20"/>
                <w:szCs w:val="20"/>
                <w:lang w:val="en-US"/>
              </w:rPr>
            </w:pPr>
            <w:r>
              <w:rPr>
                <w:sz w:val="20"/>
                <w:szCs w:val="20"/>
                <w:lang w:val="en-US"/>
              </w:rPr>
              <w:t>8.82</w:t>
            </w:r>
          </w:p>
        </w:tc>
        <w:tc>
          <w:tcPr>
            <w:tcW w:w="1559" w:type="dxa"/>
          </w:tcPr>
          <w:p w14:paraId="43A028D9" w14:textId="77777777" w:rsidR="0033044C" w:rsidRPr="0033044C" w:rsidRDefault="00FC12DA" w:rsidP="00331277">
            <w:pPr>
              <w:spacing w:line="360" w:lineRule="auto"/>
              <w:rPr>
                <w:sz w:val="20"/>
                <w:szCs w:val="20"/>
                <w:lang w:val="en-US"/>
              </w:rPr>
            </w:pPr>
            <w:r>
              <w:rPr>
                <w:sz w:val="20"/>
                <w:szCs w:val="20"/>
                <w:lang w:val="en-US"/>
              </w:rPr>
              <w:t>11 675</w:t>
            </w:r>
          </w:p>
        </w:tc>
        <w:tc>
          <w:tcPr>
            <w:tcW w:w="1984" w:type="dxa"/>
          </w:tcPr>
          <w:p w14:paraId="724BE8B1" w14:textId="77777777" w:rsidR="0033044C" w:rsidRPr="0033044C" w:rsidRDefault="00FC12DA" w:rsidP="00331277">
            <w:pPr>
              <w:spacing w:line="360" w:lineRule="auto"/>
              <w:rPr>
                <w:sz w:val="20"/>
                <w:szCs w:val="20"/>
                <w:lang w:val="en-US"/>
              </w:rPr>
            </w:pPr>
            <w:r>
              <w:rPr>
                <w:sz w:val="20"/>
                <w:szCs w:val="20"/>
                <w:lang w:val="en-US"/>
              </w:rPr>
              <w:t>4%</w:t>
            </w:r>
          </w:p>
        </w:tc>
      </w:tr>
    </w:tbl>
    <w:p w14:paraId="347AD10B" w14:textId="77777777" w:rsidR="00FC12DA" w:rsidRPr="00331277" w:rsidRDefault="00FC12DA" w:rsidP="004C2882">
      <w:pPr>
        <w:spacing w:line="360" w:lineRule="auto"/>
        <w:rPr>
          <w:sz w:val="20"/>
          <w:szCs w:val="20"/>
          <w:lang w:val="en-US"/>
        </w:rPr>
      </w:pPr>
      <m:oMathPara>
        <m:oMathParaPr>
          <m:jc m:val="left"/>
        </m:oMathParaPr>
        <m:oMath>
          <m:r>
            <w:rPr>
              <w:rFonts w:ascii="Cambria Math" w:hAnsi="Cambria Math"/>
              <w:sz w:val="20"/>
              <w:szCs w:val="20"/>
              <w:lang w:val="en-US"/>
            </w:rPr>
            <m:t>*FCF=EBIT</m:t>
          </m:r>
          <m:d>
            <m:dPr>
              <m:ctrlPr>
                <w:rPr>
                  <w:rFonts w:ascii="Cambria Math" w:hAnsi="Cambria Math"/>
                  <w:i/>
                  <w:sz w:val="20"/>
                  <w:szCs w:val="20"/>
                  <w:lang w:val="en-US"/>
                </w:rPr>
              </m:ctrlPr>
            </m:dPr>
            <m:e>
              <m:r>
                <w:rPr>
                  <w:rFonts w:ascii="Cambria Math" w:hAnsi="Cambria Math"/>
                  <w:sz w:val="20"/>
                  <w:szCs w:val="20"/>
                  <w:lang w:val="en-US"/>
                </w:rPr>
                <m:t>1-t</m:t>
              </m:r>
            </m:e>
          </m:d>
          <m:r>
            <w:rPr>
              <w:rFonts w:ascii="Cambria Math" w:hAnsi="Cambria Math"/>
              <w:sz w:val="20"/>
              <w:szCs w:val="20"/>
              <w:lang w:val="en-US"/>
            </w:rPr>
            <m:t>-</m:t>
          </m:r>
          <m:d>
            <m:dPr>
              <m:ctrlPr>
                <w:rPr>
                  <w:rFonts w:ascii="Cambria Math" w:hAnsi="Cambria Math"/>
                  <w:i/>
                  <w:sz w:val="20"/>
                  <w:szCs w:val="20"/>
                  <w:lang w:val="en-US"/>
                </w:rPr>
              </m:ctrlPr>
            </m:dPr>
            <m:e>
              <m:r>
                <w:rPr>
                  <w:rFonts w:ascii="Cambria Math" w:hAnsi="Cambria Math"/>
                  <w:sz w:val="20"/>
                  <w:szCs w:val="20"/>
                  <w:lang w:val="en-US"/>
                </w:rPr>
                <m:t>CAPEX-DA</m:t>
              </m:r>
            </m:e>
          </m:d>
          <m:r>
            <w:rPr>
              <w:rFonts w:ascii="Cambria Math" w:hAnsi="Cambria Math"/>
              <w:sz w:val="20"/>
              <w:szCs w:val="20"/>
              <w:lang w:val="en-US"/>
            </w:rPr>
            <m:t>-∆WC</m:t>
          </m:r>
        </m:oMath>
      </m:oMathPara>
    </w:p>
    <w:p w14:paraId="66B2724E" w14:textId="77777777" w:rsidR="0033044C" w:rsidRPr="0031702E" w:rsidRDefault="0031702E" w:rsidP="0069639D">
      <w:pPr>
        <w:spacing w:before="240" w:after="240" w:line="360" w:lineRule="auto"/>
        <w:rPr>
          <w:b/>
          <w:bCs/>
          <w:lang w:val="en-US"/>
        </w:rPr>
      </w:pPr>
      <w:r>
        <w:rPr>
          <w:b/>
          <w:bCs/>
          <w:lang w:val="en-US"/>
        </w:rPr>
        <w:t>1.</w:t>
      </w:r>
      <w:r w:rsidR="004C2882">
        <w:rPr>
          <w:b/>
          <w:bCs/>
          <w:lang w:val="en-US"/>
        </w:rPr>
        <w:t>4</w:t>
      </w:r>
      <w:r>
        <w:rPr>
          <w:b/>
          <w:bCs/>
          <w:lang w:val="en-US"/>
        </w:rPr>
        <w:t xml:space="preserve"> </w:t>
      </w:r>
      <w:r w:rsidR="0033044C" w:rsidRPr="0031702E">
        <w:rPr>
          <w:b/>
          <w:bCs/>
          <w:lang w:val="en-US"/>
        </w:rPr>
        <w:t>Valuation</w:t>
      </w:r>
    </w:p>
    <w:p w14:paraId="66D7F5F9" w14:textId="77777777" w:rsidR="0031702E" w:rsidRPr="0031702E" w:rsidRDefault="00FC12DA" w:rsidP="0031702E">
      <w:pPr>
        <w:pStyle w:val="ListParagraph"/>
        <w:numPr>
          <w:ilvl w:val="0"/>
          <w:numId w:val="7"/>
        </w:numPr>
        <w:spacing w:before="240" w:after="240" w:line="360" w:lineRule="auto"/>
        <w:rPr>
          <w:rFonts w:ascii="Times New Roman" w:hAnsi="Times New Roman" w:cs="Times New Roman"/>
          <w:lang w:val="en-US"/>
        </w:rPr>
      </w:pPr>
      <w:r w:rsidRPr="0031702E">
        <w:rPr>
          <w:rFonts w:ascii="Times New Roman" w:hAnsi="Times New Roman" w:cs="Times New Roman"/>
          <w:b/>
          <w:bCs/>
          <w:lang w:val="en-US"/>
        </w:rPr>
        <w:t>P/E Ratio:</w:t>
      </w:r>
      <w:r w:rsidRPr="0031702E">
        <w:rPr>
          <w:rFonts w:ascii="Times New Roman" w:hAnsi="Times New Roman" w:cs="Times New Roman"/>
          <w:lang w:val="en-US"/>
        </w:rPr>
        <w:t xml:space="preserve"> </w:t>
      </w:r>
      <m:oMath>
        <m:r>
          <w:rPr>
            <w:rFonts w:ascii="Cambria Math" w:hAnsi="Cambria Math" w:cs="Times New Roman"/>
            <w:lang w:val="en-US"/>
          </w:rPr>
          <m:t>p=</m:t>
        </m:r>
        <m:f>
          <m:fPr>
            <m:ctrlPr>
              <w:rPr>
                <w:rFonts w:ascii="Cambria Math" w:hAnsi="Cambria Math" w:cs="Times New Roman"/>
                <w:i/>
                <w:lang w:val="en-US"/>
              </w:rPr>
            </m:ctrlPr>
          </m:fPr>
          <m:num>
            <m:r>
              <w:rPr>
                <w:rFonts w:ascii="Cambria Math" w:hAnsi="Cambria Math" w:cs="Times New Roman"/>
                <w:lang w:val="en-US"/>
              </w:rPr>
              <m:t>P</m:t>
            </m:r>
          </m:num>
          <m:den>
            <m:r>
              <w:rPr>
                <w:rFonts w:ascii="Cambria Math" w:hAnsi="Cambria Math" w:cs="Times New Roman"/>
                <w:lang w:val="en-US"/>
              </w:rPr>
              <m:t>E</m:t>
            </m:r>
          </m:den>
        </m:f>
        <m:r>
          <w:rPr>
            <w:rFonts w:ascii="Cambria Math" w:hAnsi="Cambria Math" w:cs="Times New Roman"/>
            <w:lang w:val="en-US"/>
          </w:rPr>
          <m:t>×EPS=15.1×3.13=47.33 USD</m:t>
        </m:r>
      </m:oMath>
    </w:p>
    <w:p w14:paraId="060430EB" w14:textId="77777777" w:rsidR="0031702E" w:rsidRDefault="00A371C2" w:rsidP="0024183A">
      <w:pPr>
        <w:spacing w:line="360" w:lineRule="auto"/>
        <w:rPr>
          <w:lang w:val="en-US"/>
        </w:rPr>
      </w:pPr>
      <m:oMath>
        <m:r>
          <w:rPr>
            <w:rFonts w:ascii="Cambria Math" w:hAnsi="Cambria Math"/>
            <w:lang w:val="en-US"/>
          </w:rPr>
          <m:t>Equity=p× avg. common shares outst.=47.33×323.172=15 296.33 million USD</m:t>
        </m:r>
      </m:oMath>
      <w:r w:rsidR="0031702E">
        <w:rPr>
          <w:lang w:val="en-US"/>
        </w:rPr>
        <w:t xml:space="preserve"> </w:t>
      </w:r>
    </w:p>
    <w:p w14:paraId="69D56A94" w14:textId="77777777" w:rsidR="0031702E" w:rsidRDefault="0031702E" w:rsidP="0031702E">
      <w:pPr>
        <w:pStyle w:val="ListParagraph"/>
        <w:numPr>
          <w:ilvl w:val="0"/>
          <w:numId w:val="7"/>
        </w:numPr>
        <w:spacing w:line="360" w:lineRule="auto"/>
        <w:rPr>
          <w:rFonts w:ascii="Times New Roman" w:hAnsi="Times New Roman" w:cs="Times New Roman"/>
          <w:lang w:val="en-US"/>
        </w:rPr>
      </w:pPr>
      <w:r w:rsidRPr="003E1D78">
        <w:rPr>
          <w:rFonts w:ascii="Times New Roman" w:hAnsi="Times New Roman" w:cs="Times New Roman"/>
          <w:b/>
          <w:bCs/>
          <w:lang w:val="en-US"/>
        </w:rPr>
        <w:t>EV/EBITDA:</w:t>
      </w:r>
      <w:r w:rsidRPr="0031702E">
        <w:rPr>
          <w:rFonts w:ascii="Times New Roman" w:hAnsi="Times New Roman" w:cs="Times New Roman"/>
          <w:lang w:val="en-US"/>
        </w:rPr>
        <w:t xml:space="preserve"> </w:t>
      </w:r>
      <m:oMath>
        <m:r>
          <w:rPr>
            <w:rFonts w:ascii="Cambria Math" w:hAnsi="Cambria Math" w:cs="Times New Roman"/>
            <w:lang w:val="en-US"/>
          </w:rPr>
          <m:t>EV=</m:t>
        </m:r>
        <m:f>
          <m:fPr>
            <m:ctrlPr>
              <w:rPr>
                <w:rFonts w:ascii="Cambria Math" w:hAnsi="Cambria Math" w:cs="Times New Roman"/>
                <w:i/>
                <w:lang w:val="en-US"/>
              </w:rPr>
            </m:ctrlPr>
          </m:fPr>
          <m:num>
            <m:r>
              <w:rPr>
                <w:rFonts w:ascii="Cambria Math" w:hAnsi="Cambria Math" w:cs="Times New Roman"/>
                <w:lang w:val="en-US"/>
              </w:rPr>
              <m:t>EV</m:t>
            </m:r>
          </m:num>
          <m:den>
            <m:r>
              <w:rPr>
                <w:rFonts w:ascii="Cambria Math" w:hAnsi="Cambria Math" w:cs="Times New Roman"/>
                <w:lang w:val="en-US"/>
              </w:rPr>
              <m:t>EBITDA</m:t>
            </m:r>
          </m:den>
        </m:f>
        <m:r>
          <w:rPr>
            <w:rFonts w:ascii="Cambria Math" w:hAnsi="Cambria Math" w:cs="Times New Roman"/>
            <w:lang w:val="en-US"/>
          </w:rPr>
          <m:t>×EBITDA=10.1×2 057=20 776 million USD</m:t>
        </m:r>
      </m:oMath>
    </w:p>
    <w:p w14:paraId="3B66AD59" w14:textId="77777777" w:rsidR="0031702E" w:rsidRPr="0031702E" w:rsidRDefault="0031702E" w:rsidP="0031702E">
      <w:pPr>
        <w:spacing w:line="360" w:lineRule="auto"/>
        <w:rPr>
          <w:lang w:val="en-US"/>
        </w:rPr>
      </w:pPr>
      <m:oMathPara>
        <m:oMathParaPr>
          <m:jc m:val="left"/>
        </m:oMathParaPr>
        <m:oMath>
          <m:r>
            <w:rPr>
              <w:rFonts w:ascii="Cambria Math" w:hAnsi="Cambria Math"/>
              <w:lang w:val="en-US"/>
            </w:rPr>
            <m:t>Equity=EV-Net Debt=20 776-3531= 17 245 million USD</m:t>
          </m:r>
        </m:oMath>
      </m:oMathPara>
    </w:p>
    <w:p w14:paraId="6D14F34A" w14:textId="77777777" w:rsidR="00A371C2" w:rsidRPr="00A371C2" w:rsidRDefault="00A371C2" w:rsidP="00A371C2">
      <w:pPr>
        <w:spacing w:before="240" w:after="240" w:line="360" w:lineRule="auto"/>
        <w:rPr>
          <w:lang w:val="en-US"/>
        </w:rPr>
      </w:pPr>
      <m:oMathPara>
        <m:oMathParaPr>
          <m:jc m:val="left"/>
        </m:oMathParaPr>
        <m:oMath>
          <m:r>
            <w:rPr>
              <w:rFonts w:ascii="Cambria Math" w:hAnsi="Cambria Math"/>
              <w:lang w:val="en-US"/>
            </w:rPr>
            <m:t>p=</m:t>
          </m:r>
          <m:f>
            <m:fPr>
              <m:ctrlPr>
                <w:rPr>
                  <w:rFonts w:ascii="Cambria Math" w:eastAsiaTheme="minorEastAsia" w:hAnsi="Cambria Math"/>
                  <w:i/>
                  <w:kern w:val="2"/>
                  <w:lang w:val="en-US"/>
                  <w14:ligatures w14:val="standardContextual"/>
                </w:rPr>
              </m:ctrlPr>
            </m:fPr>
            <m:num>
              <m:r>
                <w:rPr>
                  <w:rFonts w:ascii="Cambria Math" w:hAnsi="Cambria Math"/>
                  <w:lang w:val="en-US"/>
                </w:rPr>
                <m:t>17 245</m:t>
              </m:r>
            </m:num>
            <m:den>
              <m:r>
                <w:rPr>
                  <w:rFonts w:ascii="Cambria Math" w:hAnsi="Cambria Math"/>
                  <w:lang w:val="en-US"/>
                </w:rPr>
                <m:t>323.172</m:t>
              </m:r>
            </m:den>
          </m:f>
          <m:r>
            <w:rPr>
              <w:rFonts w:ascii="Cambria Math" w:hAnsi="Cambria Math"/>
              <w:lang w:val="en-US"/>
            </w:rPr>
            <m:t>=53.36 USD</m:t>
          </m:r>
        </m:oMath>
      </m:oMathPara>
    </w:p>
    <w:p w14:paraId="57C6546B" w14:textId="77777777" w:rsidR="00A371C2" w:rsidRDefault="00A371C2" w:rsidP="00A371C2">
      <w:pPr>
        <w:pStyle w:val="ListParagraph"/>
        <w:numPr>
          <w:ilvl w:val="0"/>
          <w:numId w:val="7"/>
        </w:numPr>
        <w:spacing w:line="360" w:lineRule="auto"/>
        <w:rPr>
          <w:rFonts w:ascii="Times New Roman" w:hAnsi="Times New Roman" w:cs="Times New Roman"/>
          <w:lang w:val="en-US"/>
        </w:rPr>
      </w:pPr>
      <w:r w:rsidRPr="003E1D78">
        <w:rPr>
          <w:rFonts w:ascii="Times New Roman" w:hAnsi="Times New Roman" w:cs="Times New Roman"/>
          <w:b/>
          <w:bCs/>
          <w:lang w:val="en-US"/>
        </w:rPr>
        <w:t>EV/</w:t>
      </w:r>
      <w:r>
        <w:rPr>
          <w:rFonts w:ascii="Times New Roman" w:hAnsi="Times New Roman" w:cs="Times New Roman"/>
          <w:b/>
          <w:bCs/>
          <w:lang w:val="en-US"/>
        </w:rPr>
        <w:t>FCF</w:t>
      </w:r>
      <w:r w:rsidRPr="003E1D78">
        <w:rPr>
          <w:rFonts w:ascii="Times New Roman" w:hAnsi="Times New Roman" w:cs="Times New Roman"/>
          <w:b/>
          <w:bCs/>
          <w:lang w:val="en-US"/>
        </w:rPr>
        <w:t>:</w:t>
      </w:r>
      <w:r w:rsidRPr="0031702E">
        <w:rPr>
          <w:rFonts w:ascii="Times New Roman" w:hAnsi="Times New Roman" w:cs="Times New Roman"/>
          <w:lang w:val="en-US"/>
        </w:rPr>
        <w:t xml:space="preserve"> </w:t>
      </w:r>
      <m:oMath>
        <m:r>
          <w:rPr>
            <w:rFonts w:ascii="Cambria Math" w:hAnsi="Cambria Math" w:cs="Times New Roman"/>
            <w:lang w:val="en-US"/>
          </w:rPr>
          <m:t>EV=</m:t>
        </m:r>
        <m:f>
          <m:fPr>
            <m:ctrlPr>
              <w:rPr>
                <w:rFonts w:ascii="Cambria Math" w:hAnsi="Cambria Math" w:cs="Times New Roman"/>
                <w:i/>
                <w:lang w:val="en-US"/>
              </w:rPr>
            </m:ctrlPr>
          </m:fPr>
          <m:num>
            <m:r>
              <w:rPr>
                <w:rFonts w:ascii="Cambria Math" w:hAnsi="Cambria Math" w:cs="Times New Roman"/>
                <w:lang w:val="en-US"/>
              </w:rPr>
              <m:t>EV</m:t>
            </m:r>
          </m:num>
          <m:den>
            <m:r>
              <w:rPr>
                <w:rFonts w:ascii="Cambria Math" w:hAnsi="Cambria Math" w:cs="Times New Roman"/>
                <w:lang w:val="en-US"/>
              </w:rPr>
              <m:t>FCF</m:t>
            </m:r>
          </m:den>
        </m:f>
        <m:r>
          <w:rPr>
            <w:rFonts w:ascii="Cambria Math" w:hAnsi="Cambria Math" w:cs="Times New Roman"/>
            <w:lang w:val="en-US"/>
          </w:rPr>
          <m:t>×FCF=22.6×1 463=33 068 million USD</m:t>
        </m:r>
      </m:oMath>
    </w:p>
    <w:p w14:paraId="6EA1747F" w14:textId="77777777" w:rsidR="00A371C2" w:rsidRPr="0031702E" w:rsidRDefault="00A371C2" w:rsidP="00A371C2">
      <w:pPr>
        <w:spacing w:line="360" w:lineRule="auto"/>
        <w:rPr>
          <w:lang w:val="en-US"/>
        </w:rPr>
      </w:pPr>
      <m:oMathPara>
        <m:oMathParaPr>
          <m:jc m:val="left"/>
        </m:oMathParaPr>
        <m:oMath>
          <m:r>
            <w:rPr>
              <w:rFonts w:ascii="Cambria Math" w:hAnsi="Cambria Math"/>
              <w:lang w:val="en-US"/>
            </w:rPr>
            <m:t>Equity=EV-Net Debt=33 068-3531= 29 537 million USD</m:t>
          </m:r>
        </m:oMath>
      </m:oMathPara>
    </w:p>
    <w:p w14:paraId="42FF0DFE" w14:textId="77777777" w:rsidR="00A371C2" w:rsidRPr="00A371C2" w:rsidRDefault="00A371C2" w:rsidP="00A371C2">
      <w:pPr>
        <w:spacing w:before="240" w:after="240" w:line="360" w:lineRule="auto"/>
        <w:rPr>
          <w:lang w:val="en-US"/>
        </w:rPr>
      </w:pPr>
      <m:oMathPara>
        <m:oMathParaPr>
          <m:jc m:val="left"/>
        </m:oMathParaPr>
        <m:oMath>
          <m:r>
            <w:rPr>
              <w:rFonts w:ascii="Cambria Math" w:hAnsi="Cambria Math"/>
              <w:lang w:val="en-US"/>
            </w:rPr>
            <m:t>p=</m:t>
          </m:r>
          <m:f>
            <m:fPr>
              <m:ctrlPr>
                <w:rPr>
                  <w:rFonts w:ascii="Cambria Math" w:eastAsiaTheme="minorEastAsia" w:hAnsi="Cambria Math"/>
                  <w:i/>
                  <w:kern w:val="2"/>
                  <w:lang w:val="en-US"/>
                  <w14:ligatures w14:val="standardContextual"/>
                </w:rPr>
              </m:ctrlPr>
            </m:fPr>
            <m:num>
              <m:r>
                <w:rPr>
                  <w:rFonts w:ascii="Cambria Math" w:hAnsi="Cambria Math"/>
                  <w:lang w:val="en-US"/>
                </w:rPr>
                <m:t>29 537</m:t>
              </m:r>
            </m:num>
            <m:den>
              <m:r>
                <w:rPr>
                  <w:rFonts w:ascii="Cambria Math" w:hAnsi="Cambria Math"/>
                  <w:lang w:val="en-US"/>
                </w:rPr>
                <m:t>323.172</m:t>
              </m:r>
            </m:den>
          </m:f>
          <m:r>
            <w:rPr>
              <w:rFonts w:ascii="Cambria Math" w:hAnsi="Cambria Math"/>
              <w:lang w:val="en-US"/>
            </w:rPr>
            <m:t>=91.40 USD</m:t>
          </m:r>
        </m:oMath>
      </m:oMathPara>
    </w:p>
    <w:p w14:paraId="4DC8ABCE" w14:textId="77777777" w:rsidR="00A371C2" w:rsidRPr="0031702E" w:rsidRDefault="00A371C2" w:rsidP="00A371C2">
      <w:pPr>
        <w:pStyle w:val="ListParagraph"/>
        <w:numPr>
          <w:ilvl w:val="0"/>
          <w:numId w:val="7"/>
        </w:numPr>
        <w:spacing w:before="240" w:after="240" w:line="360" w:lineRule="auto"/>
        <w:rPr>
          <w:rFonts w:ascii="Times New Roman" w:hAnsi="Times New Roman" w:cs="Times New Roman"/>
          <w:lang w:val="en-US"/>
        </w:rPr>
      </w:pPr>
      <w:r w:rsidRPr="0031702E">
        <w:rPr>
          <w:rFonts w:ascii="Times New Roman" w:hAnsi="Times New Roman" w:cs="Times New Roman"/>
          <w:b/>
          <w:bCs/>
          <w:lang w:val="en-US"/>
        </w:rPr>
        <w:t>P/</w:t>
      </w:r>
      <w:r>
        <w:rPr>
          <w:rFonts w:ascii="Times New Roman" w:hAnsi="Times New Roman" w:cs="Times New Roman"/>
          <w:b/>
          <w:bCs/>
          <w:lang w:val="en-US"/>
        </w:rPr>
        <w:t>B</w:t>
      </w:r>
      <w:r w:rsidRPr="0031702E">
        <w:rPr>
          <w:rFonts w:ascii="Times New Roman" w:hAnsi="Times New Roman" w:cs="Times New Roman"/>
          <w:b/>
          <w:bCs/>
          <w:lang w:val="en-US"/>
        </w:rPr>
        <w:t xml:space="preserve"> Ratio:</w:t>
      </w:r>
      <w:r w:rsidRPr="0031702E">
        <w:rPr>
          <w:rFonts w:ascii="Times New Roman" w:hAnsi="Times New Roman" w:cs="Times New Roman"/>
          <w:lang w:val="en-US"/>
        </w:rPr>
        <w:t xml:space="preserve"> </w:t>
      </w:r>
      <m:oMath>
        <m:r>
          <w:rPr>
            <w:rFonts w:ascii="Cambria Math" w:hAnsi="Cambria Math" w:cs="Times New Roman"/>
            <w:lang w:val="en-US"/>
          </w:rPr>
          <m:t>p=</m:t>
        </m:r>
        <m:f>
          <m:fPr>
            <m:ctrlPr>
              <w:rPr>
                <w:rFonts w:ascii="Cambria Math" w:hAnsi="Cambria Math" w:cs="Times New Roman"/>
                <w:i/>
                <w:lang w:val="en-US"/>
              </w:rPr>
            </m:ctrlPr>
          </m:fPr>
          <m:num>
            <m:r>
              <w:rPr>
                <w:rFonts w:ascii="Cambria Math" w:hAnsi="Cambria Math" w:cs="Times New Roman"/>
                <w:lang w:val="en-US"/>
              </w:rPr>
              <m:t>P</m:t>
            </m:r>
          </m:num>
          <m:den>
            <m:r>
              <w:rPr>
                <w:rFonts w:ascii="Cambria Math" w:hAnsi="Cambria Math" w:cs="Times New Roman"/>
                <w:lang w:val="en-US"/>
              </w:rPr>
              <m:t>B</m:t>
            </m:r>
          </m:den>
        </m:f>
        <m:r>
          <w:rPr>
            <w:rFonts w:ascii="Cambria Math" w:hAnsi="Cambria Math" w:cs="Times New Roman"/>
            <w:lang w:val="en-US"/>
          </w:rPr>
          <m:t>×Book Value=4.3×8.82=37.90 USD</m:t>
        </m:r>
      </m:oMath>
    </w:p>
    <w:p w14:paraId="2673D235" w14:textId="77777777" w:rsidR="00A371C2" w:rsidRDefault="00A371C2" w:rsidP="00A371C2">
      <w:pPr>
        <w:spacing w:line="360" w:lineRule="auto"/>
        <w:rPr>
          <w:lang w:val="en-US"/>
        </w:rPr>
      </w:pPr>
      <m:oMath>
        <m:r>
          <w:rPr>
            <w:rFonts w:ascii="Cambria Math" w:hAnsi="Cambria Math"/>
            <w:lang w:val="en-US"/>
          </w:rPr>
          <w:lastRenderedPageBreak/>
          <m:t>Equity=p× avg. common shares outst.=37.90×323.172=12 251 million USD</m:t>
        </m:r>
      </m:oMath>
      <w:r>
        <w:rPr>
          <w:lang w:val="en-US"/>
        </w:rPr>
        <w:t xml:space="preserve"> </w:t>
      </w:r>
    </w:p>
    <w:p w14:paraId="445402F6" w14:textId="77777777" w:rsidR="00EE3CFE" w:rsidRPr="0031702E" w:rsidRDefault="00EE3CFE" w:rsidP="00EE3CFE">
      <w:pPr>
        <w:pStyle w:val="ListParagraph"/>
        <w:numPr>
          <w:ilvl w:val="0"/>
          <w:numId w:val="7"/>
        </w:numPr>
        <w:spacing w:before="240" w:after="240" w:line="360" w:lineRule="auto"/>
        <w:rPr>
          <w:rFonts w:ascii="Times New Roman" w:hAnsi="Times New Roman" w:cs="Times New Roman"/>
          <w:lang w:val="en-US"/>
        </w:rPr>
      </w:pPr>
      <w:r w:rsidRPr="0031702E">
        <w:rPr>
          <w:rFonts w:ascii="Times New Roman" w:hAnsi="Times New Roman" w:cs="Times New Roman"/>
          <w:b/>
          <w:bCs/>
          <w:lang w:val="en-US"/>
        </w:rPr>
        <w:t>P/</w:t>
      </w:r>
      <w:r>
        <w:rPr>
          <w:rFonts w:ascii="Times New Roman" w:hAnsi="Times New Roman" w:cs="Times New Roman"/>
          <w:b/>
          <w:bCs/>
          <w:lang w:val="en-US"/>
        </w:rPr>
        <w:t xml:space="preserve">S </w:t>
      </w:r>
      <w:r w:rsidRPr="0031702E">
        <w:rPr>
          <w:rFonts w:ascii="Times New Roman" w:hAnsi="Times New Roman" w:cs="Times New Roman"/>
          <w:b/>
          <w:bCs/>
          <w:lang w:val="en-US"/>
        </w:rPr>
        <w:t>Ratio:</w:t>
      </w:r>
      <w:r w:rsidRPr="0031702E">
        <w:rPr>
          <w:rFonts w:ascii="Times New Roman" w:hAnsi="Times New Roman" w:cs="Times New Roman"/>
          <w:lang w:val="en-US"/>
        </w:rPr>
        <w:t xml:space="preserve"> </w:t>
      </w:r>
      <m:oMath>
        <m:r>
          <w:rPr>
            <w:rFonts w:ascii="Cambria Math" w:hAnsi="Cambria Math" w:cs="Times New Roman"/>
            <w:lang w:val="en-US"/>
          </w:rPr>
          <m:t>p=</m:t>
        </m:r>
        <m:f>
          <m:fPr>
            <m:ctrlPr>
              <w:rPr>
                <w:rFonts w:ascii="Cambria Math" w:hAnsi="Cambria Math" w:cs="Times New Roman"/>
                <w:i/>
                <w:lang w:val="en-US"/>
              </w:rPr>
            </m:ctrlPr>
          </m:fPr>
          <m:num>
            <m:r>
              <w:rPr>
                <w:rFonts w:ascii="Cambria Math" w:hAnsi="Cambria Math" w:cs="Times New Roman"/>
                <w:lang w:val="en-US"/>
              </w:rPr>
              <m:t>P</m:t>
            </m:r>
          </m:num>
          <m:den>
            <m:r>
              <w:rPr>
                <w:rFonts w:ascii="Cambria Math" w:hAnsi="Cambria Math" w:cs="Times New Roman"/>
                <w:lang w:val="en-US"/>
              </w:rPr>
              <m:t>S</m:t>
            </m:r>
          </m:den>
        </m:f>
        <m:r>
          <w:rPr>
            <w:rFonts w:ascii="Cambria Math" w:hAnsi="Cambria Math" w:cs="Times New Roman"/>
            <w:lang w:val="en-US"/>
          </w:rPr>
          <m:t>×Sales=1.5×11 675=54.19 USD</m:t>
        </m:r>
      </m:oMath>
    </w:p>
    <w:p w14:paraId="66026AAF" w14:textId="77777777" w:rsidR="00EE3CFE" w:rsidRDefault="00EE3CFE" w:rsidP="00EE3CFE">
      <w:pPr>
        <w:spacing w:line="360" w:lineRule="auto"/>
        <w:rPr>
          <w:lang w:val="en-US"/>
        </w:rPr>
      </w:pPr>
      <m:oMath>
        <m:r>
          <w:rPr>
            <w:rFonts w:ascii="Cambria Math" w:hAnsi="Cambria Math"/>
            <w:lang w:val="en-US"/>
          </w:rPr>
          <m:t>Equity=p× avg. common shares outst.=54.19×323.172=17 513 million USD</m:t>
        </m:r>
      </m:oMath>
      <w:r>
        <w:rPr>
          <w:lang w:val="en-US"/>
        </w:rPr>
        <w:t xml:space="preserve"> </w:t>
      </w:r>
    </w:p>
    <w:p w14:paraId="05C3BB2E" w14:textId="77777777" w:rsidR="00380369" w:rsidRPr="0031702E" w:rsidRDefault="00380369" w:rsidP="00380369">
      <w:pPr>
        <w:pStyle w:val="ListParagraph"/>
        <w:numPr>
          <w:ilvl w:val="0"/>
          <w:numId w:val="7"/>
        </w:numPr>
        <w:spacing w:before="240" w:after="240" w:line="360" w:lineRule="auto"/>
        <w:rPr>
          <w:rFonts w:ascii="Times New Roman" w:hAnsi="Times New Roman" w:cs="Times New Roman"/>
          <w:lang w:val="en-US"/>
        </w:rPr>
      </w:pPr>
      <w:r w:rsidRPr="0031702E">
        <w:rPr>
          <w:rFonts w:ascii="Times New Roman" w:hAnsi="Times New Roman" w:cs="Times New Roman"/>
          <w:b/>
          <w:bCs/>
          <w:lang w:val="en-US"/>
        </w:rPr>
        <w:t>P</w:t>
      </w:r>
      <w:r>
        <w:rPr>
          <w:rFonts w:ascii="Times New Roman" w:hAnsi="Times New Roman" w:cs="Times New Roman"/>
          <w:b/>
          <w:bCs/>
          <w:lang w:val="en-US"/>
        </w:rPr>
        <w:t>EG</w:t>
      </w:r>
      <w:r w:rsidRPr="0031702E">
        <w:rPr>
          <w:rFonts w:ascii="Times New Roman" w:hAnsi="Times New Roman" w:cs="Times New Roman"/>
          <w:b/>
          <w:bCs/>
          <w:lang w:val="en-US"/>
        </w:rPr>
        <w:t>:</w:t>
      </w:r>
      <w:r w:rsidRPr="0031702E">
        <w:rPr>
          <w:rFonts w:ascii="Times New Roman" w:hAnsi="Times New Roman" w:cs="Times New Roman"/>
          <w:lang w:val="en-US"/>
        </w:rPr>
        <w:t xml:space="preserve"> </w:t>
      </w:r>
      <m:oMath>
        <m:r>
          <w:rPr>
            <w:rFonts w:ascii="Cambria Math" w:hAnsi="Cambria Math" w:cs="Times New Roman"/>
            <w:lang w:val="en-US"/>
          </w:rPr>
          <m:t>p=</m:t>
        </m:r>
        <m:f>
          <m:fPr>
            <m:ctrlPr>
              <w:rPr>
                <w:rFonts w:ascii="Cambria Math" w:hAnsi="Cambria Math" w:cs="Times New Roman"/>
                <w:i/>
                <w:lang w:val="en-US"/>
              </w:rPr>
            </m:ctrlPr>
          </m:fPr>
          <m:num>
            <m:r>
              <w:rPr>
                <w:rFonts w:ascii="Cambria Math" w:hAnsi="Cambria Math" w:cs="Times New Roman"/>
                <w:lang w:val="en-US"/>
              </w:rPr>
              <m:t>P/E</m:t>
            </m:r>
          </m:num>
          <m:den>
            <m:r>
              <w:rPr>
                <w:rFonts w:ascii="Cambria Math" w:hAnsi="Cambria Math" w:cs="Times New Roman"/>
                <w:lang w:val="en-US"/>
              </w:rPr>
              <m:t>EPS growth rate</m:t>
            </m:r>
          </m:den>
        </m:f>
        <m:r>
          <w:rPr>
            <w:rFonts w:ascii="Cambria Math" w:hAnsi="Cambria Math" w:cs="Times New Roman"/>
            <w:lang w:val="en-US"/>
          </w:rPr>
          <m:t>×EPS growth rate×EPS=4.3×4×3.13=53.91 USD</m:t>
        </m:r>
      </m:oMath>
    </w:p>
    <w:p w14:paraId="40F09400" w14:textId="77777777" w:rsidR="00F13103" w:rsidRPr="003C564C" w:rsidRDefault="00380369" w:rsidP="00024EE9">
      <w:pPr>
        <w:spacing w:before="240" w:after="240" w:line="360" w:lineRule="auto"/>
        <w:rPr>
          <w:lang w:val="en-US"/>
        </w:rPr>
      </w:pPr>
      <m:oMath>
        <m:r>
          <w:rPr>
            <w:rFonts w:ascii="Cambria Math" w:hAnsi="Cambria Math"/>
            <w:lang w:val="en-US"/>
          </w:rPr>
          <m:t>Equity=p× avg. common shares outst.=53.91×323.172=17 424 million USD</m:t>
        </m:r>
      </m:oMath>
      <w:r>
        <w:rPr>
          <w:lang w:val="en-US"/>
        </w:rPr>
        <w:t xml:space="preserve"> </w:t>
      </w:r>
    </w:p>
    <w:p w14:paraId="686A97FE" w14:textId="77777777" w:rsidR="00F13103" w:rsidRPr="00635CF4" w:rsidRDefault="00F13103" w:rsidP="00024EE9">
      <w:pPr>
        <w:pStyle w:val="ListParagraph"/>
        <w:numPr>
          <w:ilvl w:val="0"/>
          <w:numId w:val="9"/>
        </w:numPr>
        <w:spacing w:before="240" w:after="240" w:line="360" w:lineRule="auto"/>
        <w:rPr>
          <w:rFonts w:ascii="Times New Roman" w:hAnsi="Times New Roman" w:cs="Times New Roman"/>
          <w:b/>
          <w:bCs/>
          <w:sz w:val="28"/>
          <w:szCs w:val="28"/>
          <w:lang w:val="en-US"/>
        </w:rPr>
      </w:pPr>
      <w:r w:rsidRPr="00635CF4">
        <w:rPr>
          <w:rFonts w:ascii="Times New Roman" w:hAnsi="Times New Roman" w:cs="Times New Roman"/>
          <w:b/>
          <w:bCs/>
          <w:sz w:val="28"/>
          <w:szCs w:val="28"/>
          <w:lang w:val="en-US"/>
        </w:rPr>
        <w:t>DCF Valuation</w:t>
      </w:r>
    </w:p>
    <w:p w14:paraId="5C55DCDD" w14:textId="77777777" w:rsidR="00F84AE3" w:rsidRDefault="00F23F82" w:rsidP="00F84AE3">
      <w:pPr>
        <w:spacing w:line="360" w:lineRule="auto"/>
        <w:rPr>
          <w:b/>
          <w:bCs/>
          <w:lang w:val="en-US"/>
        </w:rPr>
      </w:pPr>
      <w:r w:rsidRPr="00320CCA">
        <w:rPr>
          <w:b/>
          <w:bCs/>
          <w:lang w:val="en-US"/>
        </w:rPr>
        <w:t xml:space="preserve">2.1. </w:t>
      </w:r>
      <w:r w:rsidR="00F84AE3" w:rsidRPr="00320CCA">
        <w:rPr>
          <w:b/>
          <w:bCs/>
          <w:lang w:val="en-US"/>
        </w:rPr>
        <w:t>Projected Cash Flows</w:t>
      </w:r>
    </w:p>
    <w:p w14:paraId="6506F235" w14:textId="77777777" w:rsidR="004B0FA2" w:rsidRDefault="004B0FA2" w:rsidP="00F84AE3">
      <w:pPr>
        <w:spacing w:line="360" w:lineRule="auto"/>
        <w:rPr>
          <w:b/>
          <w:bCs/>
          <w:lang w:val="en-US"/>
        </w:rPr>
      </w:pPr>
      <w:r>
        <w:rPr>
          <w:b/>
          <w:bCs/>
          <w:noProof/>
          <w:lang w:val="en-US"/>
          <w14:ligatures w14:val="standardContextual"/>
        </w:rPr>
        <w:drawing>
          <wp:inline distT="0" distB="0" distL="0" distR="0" wp14:anchorId="581DD1B6" wp14:editId="74C8774A">
            <wp:extent cx="6120130" cy="2240915"/>
            <wp:effectExtent l="0" t="0" r="1270" b="0"/>
            <wp:docPr id="6452576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57632" name="Рисунок 6452576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240915"/>
                    </a:xfrm>
                    <a:prstGeom prst="rect">
                      <a:avLst/>
                    </a:prstGeom>
                  </pic:spPr>
                </pic:pic>
              </a:graphicData>
            </a:graphic>
          </wp:inline>
        </w:drawing>
      </w:r>
      <w:r>
        <w:rPr>
          <w:b/>
          <w:bCs/>
          <w:noProof/>
          <w:lang w:val="en-US"/>
          <w14:ligatures w14:val="standardContextual"/>
        </w:rPr>
        <w:drawing>
          <wp:inline distT="0" distB="0" distL="0" distR="0" wp14:anchorId="12705E03" wp14:editId="3EA90242">
            <wp:extent cx="6120130" cy="2291080"/>
            <wp:effectExtent l="0" t="0" r="1270" b="0"/>
            <wp:docPr id="207800757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07570" name="Рисунок 20780075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291080"/>
                    </a:xfrm>
                    <a:prstGeom prst="rect">
                      <a:avLst/>
                    </a:prstGeom>
                  </pic:spPr>
                </pic:pic>
              </a:graphicData>
            </a:graphic>
          </wp:inline>
        </w:drawing>
      </w:r>
    </w:p>
    <w:p w14:paraId="5686D8FC" w14:textId="77777777" w:rsidR="004B0FA2" w:rsidRPr="00320CCA" w:rsidRDefault="003B35F0" w:rsidP="00F84AE3">
      <w:pPr>
        <w:spacing w:line="360" w:lineRule="auto"/>
        <w:rPr>
          <w:b/>
          <w:bCs/>
          <w:lang w:val="en-US"/>
        </w:rPr>
      </w:pPr>
      <w:r>
        <w:rPr>
          <w:b/>
          <w:bCs/>
          <w:noProof/>
          <w:lang w:val="en-US"/>
          <w14:ligatures w14:val="standardContextual"/>
        </w:rPr>
        <w:lastRenderedPageBreak/>
        <w:drawing>
          <wp:inline distT="0" distB="0" distL="0" distR="0" wp14:anchorId="736C9102" wp14:editId="1D180C9F">
            <wp:extent cx="6120130" cy="2091690"/>
            <wp:effectExtent l="0" t="0" r="1270" b="3810"/>
            <wp:docPr id="56651969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19690" name="Рисунок 566519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091690"/>
                    </a:xfrm>
                    <a:prstGeom prst="rect">
                      <a:avLst/>
                    </a:prstGeom>
                  </pic:spPr>
                </pic:pic>
              </a:graphicData>
            </a:graphic>
          </wp:inline>
        </w:drawing>
      </w:r>
    </w:p>
    <w:p w14:paraId="0E3F0D72" w14:textId="77777777" w:rsidR="00F23F82" w:rsidRPr="007226DB" w:rsidRDefault="00D3516E" w:rsidP="00D3516E">
      <w:pPr>
        <w:spacing w:before="240" w:after="240" w:line="360" w:lineRule="auto"/>
        <w:rPr>
          <w:rFonts w:eastAsia="SimSun"/>
          <w:b/>
          <w:bCs/>
          <w:lang w:val="en-US"/>
        </w:rPr>
      </w:pPr>
      <w:r>
        <w:rPr>
          <w:b/>
          <w:bCs/>
          <w:lang w:val="en-US"/>
        </w:rPr>
        <w:t xml:space="preserve">2.2. </w:t>
      </w:r>
      <w:r w:rsidR="00F84AE3" w:rsidRPr="00D3516E">
        <w:rPr>
          <w:b/>
          <w:bCs/>
          <w:lang w:val="en-US"/>
        </w:rPr>
        <w:t>WACC</w:t>
      </w:r>
    </w:p>
    <w:p w14:paraId="23F39659" w14:textId="77777777" w:rsidR="00F23F82" w:rsidRPr="00320CCA" w:rsidRDefault="00F23F82" w:rsidP="00F23F82">
      <w:pPr>
        <w:pStyle w:val="ListParagraph"/>
        <w:numPr>
          <w:ilvl w:val="0"/>
          <w:numId w:val="7"/>
        </w:numPr>
        <w:spacing w:before="240" w:after="240" w:line="360" w:lineRule="auto"/>
        <w:rPr>
          <w:rFonts w:eastAsia="SimSun"/>
          <w:lang w:val="en-US"/>
        </w:rPr>
      </w:pPr>
      <w:r w:rsidRPr="00320CCA">
        <w:rPr>
          <w:rFonts w:ascii="Times New Roman" w:eastAsia="SimSun" w:hAnsi="Times New Roman" w:cs="Times New Roman"/>
          <w:b/>
          <w:bCs/>
          <w:lang w:val="en-US"/>
        </w:rPr>
        <w:t>Cost of Equity (CAPM)</w:t>
      </w:r>
      <w:r w:rsidR="00320CCA" w:rsidRPr="00320CCA">
        <w:rPr>
          <w:rFonts w:ascii="Times New Roman" w:eastAsia="SimSun" w:hAnsi="Times New Roman" w:cs="Times New Roman"/>
          <w:b/>
          <w:bCs/>
          <w:lang w:val="en-US"/>
        </w:rPr>
        <w:t>:</w:t>
      </w:r>
      <w:r w:rsidR="00320CCA">
        <w:rPr>
          <w:rFonts w:ascii="Times New Roman" w:eastAsia="SimSun" w:hAnsi="Times New Roman" w:cs="Times New Roman"/>
          <w:lang w:val="en-US"/>
        </w:rPr>
        <w:t xml:space="preserve"> </w:t>
      </w:r>
      <m:oMath>
        <m:sSub>
          <m:sSubPr>
            <m:ctrlPr>
              <w:rPr>
                <w:rFonts w:ascii="Cambria Math" w:eastAsia="SimSun" w:hAnsi="Cambria Math" w:cs="Times New Roman"/>
                <w:i/>
                <w:kern w:val="0"/>
                <w:sz w:val="22"/>
                <w:szCs w:val="22"/>
                <w:lang w:val="en-US"/>
                <w14:ligatures w14:val="none"/>
              </w:rPr>
            </m:ctrlPr>
          </m:sSubPr>
          <m:e>
            <m:r>
              <w:rPr>
                <w:rFonts w:ascii="Cambria Math" w:eastAsia="SimSun" w:hAnsi="Cambria Math"/>
                <w:sz w:val="22"/>
                <w:szCs w:val="22"/>
                <w:lang w:val="en-US"/>
              </w:rPr>
              <m:t>r</m:t>
            </m:r>
          </m:e>
          <m:sub>
            <m:r>
              <w:rPr>
                <w:rFonts w:ascii="Cambria Math" w:eastAsia="SimSun" w:hAnsi="Cambria Math"/>
                <w:sz w:val="22"/>
                <w:szCs w:val="22"/>
                <w:lang w:val="en-US"/>
              </w:rPr>
              <m:t>e</m:t>
            </m:r>
          </m:sub>
        </m:sSub>
        <m:r>
          <w:rPr>
            <w:rFonts w:ascii="Cambria Math" w:eastAsia="SimSun" w:hAnsi="Cambria Math"/>
            <w:sz w:val="22"/>
            <w:szCs w:val="22"/>
            <w:lang w:val="en-US"/>
          </w:rPr>
          <m:t>=</m:t>
        </m:r>
        <m:sSub>
          <m:sSubPr>
            <m:ctrlPr>
              <w:rPr>
                <w:rFonts w:ascii="Cambria Math" w:eastAsia="SimSun" w:hAnsi="Cambria Math" w:cs="Times New Roman"/>
                <w:i/>
                <w:kern w:val="0"/>
                <w:sz w:val="22"/>
                <w:szCs w:val="22"/>
                <w:lang w:val="en-US"/>
                <w14:ligatures w14:val="none"/>
              </w:rPr>
            </m:ctrlPr>
          </m:sSubPr>
          <m:e>
            <m:r>
              <w:rPr>
                <w:rFonts w:ascii="Cambria Math" w:eastAsia="SimSun" w:hAnsi="Cambria Math"/>
                <w:sz w:val="22"/>
                <w:szCs w:val="22"/>
                <w:lang w:val="en-US"/>
              </w:rPr>
              <m:t>r</m:t>
            </m:r>
          </m:e>
          <m:sub>
            <m:r>
              <w:rPr>
                <w:rFonts w:ascii="Cambria Math" w:eastAsia="SimSun" w:hAnsi="Cambria Math"/>
                <w:sz w:val="22"/>
                <w:szCs w:val="22"/>
                <w:lang w:val="en-US"/>
              </w:rPr>
              <m:t>f</m:t>
            </m:r>
          </m:sub>
        </m:sSub>
        <m:r>
          <w:rPr>
            <w:rFonts w:ascii="Cambria Math" w:eastAsia="SimSun" w:hAnsi="Cambria Math"/>
            <w:sz w:val="22"/>
            <w:szCs w:val="22"/>
            <w:lang w:val="en-US"/>
          </w:rPr>
          <m:t>+</m:t>
        </m:r>
        <m:sSub>
          <m:sSubPr>
            <m:ctrlPr>
              <w:rPr>
                <w:rFonts w:ascii="Cambria Math" w:eastAsia="SimSun" w:hAnsi="Cambria Math" w:cs="Times New Roman"/>
                <w:i/>
                <w:kern w:val="0"/>
                <w:sz w:val="22"/>
                <w:szCs w:val="22"/>
                <w:lang w:val="en-US"/>
                <w14:ligatures w14:val="none"/>
              </w:rPr>
            </m:ctrlPr>
          </m:sSubPr>
          <m:e>
            <m:r>
              <w:rPr>
                <w:rFonts w:ascii="Cambria Math" w:eastAsia="SimSun" w:hAnsi="Cambria Math"/>
                <w:sz w:val="22"/>
                <w:szCs w:val="22"/>
                <w:lang w:val="en-US"/>
              </w:rPr>
              <m:t>β</m:t>
            </m:r>
          </m:e>
          <m:sub>
            <m:r>
              <w:rPr>
                <w:rFonts w:ascii="Cambria Math" w:eastAsia="SimSun" w:hAnsi="Cambria Math"/>
                <w:sz w:val="22"/>
                <w:szCs w:val="22"/>
                <w:lang w:val="en-US"/>
              </w:rPr>
              <m:t>lev</m:t>
            </m:r>
          </m:sub>
        </m:sSub>
        <m:r>
          <w:rPr>
            <w:rFonts w:ascii="Cambria Math" w:eastAsia="SimSun" w:hAnsi="Cambria Math"/>
            <w:sz w:val="22"/>
            <w:szCs w:val="22"/>
            <w:lang w:val="en-US"/>
          </w:rPr>
          <m:t>×</m:t>
        </m:r>
        <m:d>
          <m:dPr>
            <m:ctrlPr>
              <w:rPr>
                <w:rFonts w:ascii="Cambria Math" w:eastAsia="SimSun" w:hAnsi="Cambria Math"/>
                <w:i/>
                <w:sz w:val="22"/>
                <w:szCs w:val="22"/>
                <w:lang w:val="en-US"/>
              </w:rPr>
            </m:ctrlPr>
          </m:dPr>
          <m:e>
            <m:sSub>
              <m:sSubPr>
                <m:ctrlPr>
                  <w:rPr>
                    <w:rFonts w:ascii="Cambria Math" w:eastAsia="SimSun" w:hAnsi="Cambria Math" w:cs="Times New Roman"/>
                    <w:i/>
                    <w:kern w:val="0"/>
                    <w:sz w:val="22"/>
                    <w:szCs w:val="22"/>
                    <w:lang w:val="en-US"/>
                    <w14:ligatures w14:val="none"/>
                  </w:rPr>
                </m:ctrlPr>
              </m:sSubPr>
              <m:e>
                <m:r>
                  <w:rPr>
                    <w:rFonts w:ascii="Cambria Math" w:eastAsia="SimSun" w:hAnsi="Cambria Math"/>
                    <w:sz w:val="22"/>
                    <w:szCs w:val="22"/>
                    <w:lang w:val="en-US"/>
                  </w:rPr>
                  <m:t>r</m:t>
                </m:r>
              </m:e>
              <m:sub>
                <m:r>
                  <w:rPr>
                    <w:rFonts w:ascii="Cambria Math" w:eastAsia="SimSun" w:hAnsi="Cambria Math"/>
                    <w:sz w:val="22"/>
                    <w:szCs w:val="22"/>
                    <w:lang w:val="en-US"/>
                  </w:rPr>
                  <m:t>m</m:t>
                </m:r>
              </m:sub>
            </m:sSub>
            <m:r>
              <w:rPr>
                <w:rFonts w:ascii="Cambria Math" w:eastAsia="SimSun" w:hAnsi="Cambria Math"/>
                <w:sz w:val="22"/>
                <w:szCs w:val="22"/>
                <w:lang w:val="en-US"/>
              </w:rPr>
              <m:t>-</m:t>
            </m:r>
            <m:sSub>
              <m:sSubPr>
                <m:ctrlPr>
                  <w:rPr>
                    <w:rFonts w:ascii="Cambria Math" w:eastAsia="SimSun" w:hAnsi="Cambria Math" w:cs="Times New Roman"/>
                    <w:i/>
                    <w:kern w:val="0"/>
                    <w:sz w:val="22"/>
                    <w:szCs w:val="22"/>
                    <w:lang w:val="en-US"/>
                    <w14:ligatures w14:val="none"/>
                  </w:rPr>
                </m:ctrlPr>
              </m:sSubPr>
              <m:e>
                <m:r>
                  <w:rPr>
                    <w:rFonts w:ascii="Cambria Math" w:eastAsia="SimSun" w:hAnsi="Cambria Math"/>
                    <w:sz w:val="22"/>
                    <w:szCs w:val="22"/>
                    <w:lang w:val="en-US"/>
                  </w:rPr>
                  <m:t>r</m:t>
                </m:r>
              </m:e>
              <m:sub>
                <m:r>
                  <w:rPr>
                    <w:rFonts w:ascii="Cambria Math" w:eastAsia="SimSun" w:hAnsi="Cambria Math"/>
                    <w:sz w:val="22"/>
                    <w:szCs w:val="22"/>
                    <w:lang w:val="en-US"/>
                  </w:rPr>
                  <m:t>f</m:t>
                </m:r>
              </m:sub>
            </m:sSub>
          </m:e>
        </m:d>
        <m:r>
          <w:rPr>
            <w:rFonts w:ascii="Cambria Math" w:eastAsia="SimSun" w:hAnsi="Cambria Math"/>
            <w:sz w:val="22"/>
            <w:szCs w:val="22"/>
            <w:lang w:val="en-US"/>
          </w:rPr>
          <m:t>=1.8%+0.651×6%=5.7%</m:t>
        </m:r>
      </m:oMath>
    </w:p>
    <w:p w14:paraId="52DB9631" w14:textId="77777777" w:rsidR="00262F44" w:rsidRDefault="00320CCA" w:rsidP="00262F44">
      <w:pPr>
        <w:pStyle w:val="ListParagraph"/>
        <w:numPr>
          <w:ilvl w:val="0"/>
          <w:numId w:val="7"/>
        </w:numPr>
        <w:spacing w:before="240" w:after="240" w:line="360" w:lineRule="auto"/>
        <w:rPr>
          <w:rFonts w:ascii="Times New Roman" w:eastAsia="SimSun" w:hAnsi="Times New Roman" w:cs="Times New Roman"/>
          <w:lang w:val="en-US"/>
        </w:rPr>
      </w:pPr>
      <w:r>
        <w:rPr>
          <w:rFonts w:ascii="Times New Roman" w:eastAsia="SimSun" w:hAnsi="Times New Roman" w:cs="Times New Roman"/>
          <w:b/>
          <w:bCs/>
          <w:lang w:val="en-US"/>
        </w:rPr>
        <w:t>Cost of Debt:</w:t>
      </w:r>
      <w:r w:rsidR="00262F44">
        <w:rPr>
          <w:rFonts w:eastAsia="SimSun"/>
          <w:lang w:val="en-US"/>
        </w:rPr>
        <w:t xml:space="preserve"> </w:t>
      </w:r>
      <w:r w:rsidR="00262F44" w:rsidRPr="00262F44">
        <w:rPr>
          <w:rFonts w:ascii="Times New Roman" w:eastAsia="SimSun" w:hAnsi="Times New Roman" w:cs="Times New Roman"/>
          <w:lang w:val="en-US"/>
        </w:rPr>
        <w:t>Weighted-average interest rate on long-term debt is equal to 4.7%</w:t>
      </w:r>
    </w:p>
    <w:p w14:paraId="4D1DC90A" w14:textId="77777777" w:rsidR="00262F44" w:rsidRPr="007101E8" w:rsidRDefault="00636667" w:rsidP="00636667">
      <w:pPr>
        <w:pStyle w:val="ListParagraph"/>
        <w:numPr>
          <w:ilvl w:val="0"/>
          <w:numId w:val="8"/>
        </w:numPr>
        <w:spacing w:before="240" w:after="240" w:line="360" w:lineRule="auto"/>
        <w:rPr>
          <w:rFonts w:eastAsia="SimSun"/>
          <w:sz w:val="22"/>
          <w:szCs w:val="22"/>
          <w:lang w:val="en-US"/>
        </w:rPr>
      </w:pPr>
      <m:oMath>
        <m:r>
          <m:rPr>
            <m:sty m:val="bi"/>
          </m:rPr>
          <w:rPr>
            <w:rFonts w:ascii="Cambria Math" w:eastAsia="SimSun" w:hAnsi="Cambria Math"/>
            <w:sz w:val="22"/>
            <w:szCs w:val="22"/>
            <w:lang w:val="en-US"/>
          </w:rPr>
          <m:t>WACC</m:t>
        </m:r>
        <m:r>
          <w:rPr>
            <w:rFonts w:ascii="Cambria Math" w:eastAsia="SimSun" w:hAnsi="Cambria Math"/>
            <w:sz w:val="22"/>
            <w:szCs w:val="22"/>
            <w:lang w:val="en-US"/>
          </w:rPr>
          <m:t>=</m:t>
        </m:r>
        <m:sSub>
          <m:sSubPr>
            <m:ctrlPr>
              <w:rPr>
                <w:rFonts w:ascii="Cambria Math" w:eastAsia="SimSun" w:hAnsi="Cambria Math" w:cs="Times New Roman"/>
                <w:i/>
                <w:kern w:val="0"/>
                <w:sz w:val="22"/>
                <w:szCs w:val="22"/>
                <w:lang w:val="en-US"/>
                <w14:ligatures w14:val="none"/>
              </w:rPr>
            </m:ctrlPr>
          </m:sSubPr>
          <m:e>
            <m:r>
              <w:rPr>
                <w:rFonts w:ascii="Cambria Math" w:eastAsia="SimSun" w:hAnsi="Cambria Math"/>
                <w:sz w:val="22"/>
                <w:szCs w:val="22"/>
                <w:lang w:val="en-US"/>
              </w:rPr>
              <m:t>r</m:t>
            </m:r>
          </m:e>
          <m:sub>
            <m:r>
              <w:rPr>
                <w:rFonts w:ascii="Cambria Math" w:eastAsia="SimSun" w:hAnsi="Cambria Math"/>
                <w:sz w:val="22"/>
                <w:szCs w:val="22"/>
                <w:lang w:val="en-US"/>
              </w:rPr>
              <m:t>e</m:t>
            </m:r>
          </m:sub>
        </m:sSub>
        <m:r>
          <w:rPr>
            <w:rFonts w:ascii="Cambria Math" w:eastAsia="SimSun" w:hAnsi="Cambria Math"/>
            <w:sz w:val="22"/>
            <w:szCs w:val="22"/>
            <w:lang w:val="en-US"/>
          </w:rPr>
          <m:t>×</m:t>
        </m:r>
        <m:sSub>
          <m:sSubPr>
            <m:ctrlPr>
              <w:rPr>
                <w:rFonts w:ascii="Cambria Math" w:eastAsia="SimSun" w:hAnsi="Cambria Math" w:cs="Times New Roman"/>
                <w:i/>
                <w:kern w:val="0"/>
                <w:sz w:val="22"/>
                <w:szCs w:val="22"/>
                <w:lang w:val="en-US"/>
                <w14:ligatures w14:val="none"/>
              </w:rPr>
            </m:ctrlPr>
          </m:sSubPr>
          <m:e>
            <m:r>
              <w:rPr>
                <w:rFonts w:ascii="Cambria Math" w:eastAsia="SimSun" w:hAnsi="Cambria Math"/>
                <w:sz w:val="22"/>
                <w:szCs w:val="22"/>
                <w:lang w:val="en-US"/>
              </w:rPr>
              <m:t>w</m:t>
            </m:r>
          </m:e>
          <m:sub>
            <m:r>
              <w:rPr>
                <w:rFonts w:ascii="Cambria Math" w:eastAsia="SimSun" w:hAnsi="Cambria Math"/>
                <w:sz w:val="22"/>
                <w:szCs w:val="22"/>
                <w:lang w:val="en-US"/>
              </w:rPr>
              <m:t>e</m:t>
            </m:r>
          </m:sub>
        </m:sSub>
        <m:r>
          <w:rPr>
            <w:rFonts w:ascii="Cambria Math" w:eastAsia="SimSun" w:hAnsi="Cambria Math"/>
            <w:sz w:val="22"/>
            <w:szCs w:val="22"/>
            <w:lang w:val="en-US"/>
          </w:rPr>
          <m:t>+</m:t>
        </m:r>
        <m:sSub>
          <m:sSubPr>
            <m:ctrlPr>
              <w:rPr>
                <w:rFonts w:ascii="Cambria Math" w:eastAsia="SimSun" w:hAnsi="Cambria Math" w:cs="Times New Roman"/>
                <w:i/>
                <w:kern w:val="0"/>
                <w:sz w:val="22"/>
                <w:szCs w:val="22"/>
                <w:lang w:val="en-US"/>
                <w14:ligatures w14:val="none"/>
              </w:rPr>
            </m:ctrlPr>
          </m:sSubPr>
          <m:e>
            <m:r>
              <w:rPr>
                <w:rFonts w:ascii="Cambria Math" w:eastAsia="SimSun" w:hAnsi="Cambria Math"/>
                <w:sz w:val="22"/>
                <w:szCs w:val="22"/>
                <w:lang w:val="en-US"/>
              </w:rPr>
              <m:t>r</m:t>
            </m:r>
          </m:e>
          <m:sub>
            <m:r>
              <w:rPr>
                <w:rFonts w:ascii="Cambria Math" w:eastAsia="SimSun" w:hAnsi="Cambria Math"/>
                <w:sz w:val="22"/>
                <w:szCs w:val="22"/>
                <w:lang w:val="en-US"/>
              </w:rPr>
              <m:t>d</m:t>
            </m:r>
          </m:sub>
        </m:sSub>
        <m:r>
          <w:rPr>
            <w:rFonts w:ascii="Cambria Math" w:eastAsia="SimSun" w:hAnsi="Cambria Math"/>
            <w:sz w:val="22"/>
            <w:szCs w:val="22"/>
            <w:lang w:val="en-US"/>
          </w:rPr>
          <m:t>×</m:t>
        </m:r>
        <m:sSub>
          <m:sSubPr>
            <m:ctrlPr>
              <w:rPr>
                <w:rFonts w:ascii="Cambria Math" w:eastAsia="SimSun" w:hAnsi="Cambria Math" w:cs="Times New Roman"/>
                <w:i/>
                <w:kern w:val="0"/>
                <w:sz w:val="22"/>
                <w:szCs w:val="22"/>
                <w:lang w:val="en-US"/>
                <w14:ligatures w14:val="none"/>
              </w:rPr>
            </m:ctrlPr>
          </m:sSubPr>
          <m:e>
            <m:r>
              <w:rPr>
                <w:rFonts w:ascii="Cambria Math" w:eastAsia="SimSun" w:hAnsi="Cambria Math"/>
                <w:sz w:val="22"/>
                <w:szCs w:val="22"/>
                <w:lang w:val="en-US"/>
              </w:rPr>
              <m:t>w</m:t>
            </m:r>
          </m:e>
          <m:sub>
            <m:r>
              <w:rPr>
                <w:rFonts w:ascii="Cambria Math" w:eastAsia="SimSun" w:hAnsi="Cambria Math"/>
                <w:sz w:val="22"/>
                <w:szCs w:val="22"/>
                <w:lang w:val="en-US"/>
              </w:rPr>
              <m:t>d</m:t>
            </m:r>
          </m:sub>
        </m:sSub>
        <m:r>
          <w:rPr>
            <w:rFonts w:ascii="Cambria Math" w:eastAsia="SimSun" w:hAnsi="Cambria Math"/>
            <w:sz w:val="22"/>
            <w:szCs w:val="22"/>
            <w:lang w:val="en-US"/>
          </w:rPr>
          <m:t>×</m:t>
        </m:r>
        <m:d>
          <m:dPr>
            <m:ctrlPr>
              <w:rPr>
                <w:rFonts w:ascii="Cambria Math" w:eastAsia="SimSun" w:hAnsi="Cambria Math"/>
                <w:i/>
                <w:sz w:val="22"/>
                <w:szCs w:val="22"/>
                <w:lang w:val="en-US"/>
              </w:rPr>
            </m:ctrlPr>
          </m:dPr>
          <m:e>
            <m:r>
              <w:rPr>
                <w:rFonts w:ascii="Cambria Math" w:eastAsia="SimSun" w:hAnsi="Cambria Math"/>
                <w:sz w:val="22"/>
                <w:szCs w:val="22"/>
                <w:lang w:val="en-US"/>
              </w:rPr>
              <m:t>1-t</m:t>
            </m:r>
          </m:e>
        </m:d>
        <m:r>
          <w:rPr>
            <w:rFonts w:ascii="Cambria Math" w:eastAsia="SimSun" w:hAnsi="Cambria Math"/>
            <w:sz w:val="22"/>
            <w:szCs w:val="22"/>
            <w:lang w:val="en-US"/>
          </w:rPr>
          <m:t>=5.7%×0.43+4.7%×0.57×0.65=4.18%</m:t>
        </m:r>
      </m:oMath>
    </w:p>
    <w:p w14:paraId="0AB66C69" w14:textId="77777777" w:rsidR="00262F44" w:rsidRPr="007101E8" w:rsidRDefault="00144D9B" w:rsidP="00262F44">
      <w:pPr>
        <w:spacing w:before="240" w:after="240" w:line="360" w:lineRule="auto"/>
        <w:rPr>
          <w:rFonts w:eastAsia="SimSun"/>
          <w:sz w:val="22"/>
          <w:szCs w:val="22"/>
          <w:lang w:val="en-US"/>
        </w:rPr>
      </w:pPr>
      <m:oMathPara>
        <m:oMathParaPr>
          <m:jc m:val="left"/>
        </m:oMathParaPr>
        <m:oMath>
          <m:sSub>
            <m:sSubPr>
              <m:ctrlPr>
                <w:rPr>
                  <w:rFonts w:ascii="Cambria Math" w:eastAsia="SimSun" w:hAnsi="Cambria Math"/>
                  <w:i/>
                  <w:sz w:val="22"/>
                  <w:szCs w:val="22"/>
                  <w:lang w:val="en-US"/>
                </w:rPr>
              </m:ctrlPr>
            </m:sSubPr>
            <m:e>
              <m:r>
                <w:rPr>
                  <w:rFonts w:ascii="Cambria Math" w:eastAsia="SimSun" w:hAnsi="Cambria Math"/>
                  <w:sz w:val="22"/>
                  <w:szCs w:val="22"/>
                  <w:lang w:val="en-US"/>
                </w:rPr>
                <m:t>w</m:t>
              </m:r>
            </m:e>
            <m:sub>
              <m:r>
                <w:rPr>
                  <w:rFonts w:ascii="Cambria Math" w:eastAsia="SimSun" w:hAnsi="Cambria Math"/>
                  <w:sz w:val="22"/>
                  <w:szCs w:val="22"/>
                  <w:lang w:val="en-US"/>
                </w:rPr>
                <m:t>e</m:t>
              </m:r>
            </m:sub>
          </m:sSub>
          <m:r>
            <w:rPr>
              <w:rFonts w:ascii="Cambria Math" w:eastAsia="SimSun" w:hAnsi="Cambria Math"/>
              <w:sz w:val="22"/>
              <w:szCs w:val="22"/>
              <w:lang w:val="en-US"/>
            </w:rPr>
            <m:t>=</m:t>
          </m:r>
          <m:f>
            <m:fPr>
              <m:ctrlPr>
                <w:rPr>
                  <w:rFonts w:ascii="Cambria Math" w:eastAsia="SimSun" w:hAnsi="Cambria Math"/>
                  <w:i/>
                  <w:sz w:val="22"/>
                  <w:szCs w:val="22"/>
                  <w:lang w:val="en-US"/>
                </w:rPr>
              </m:ctrlPr>
            </m:fPr>
            <m:num>
              <m:r>
                <w:rPr>
                  <w:rFonts w:ascii="Cambria Math" w:eastAsia="SimSun" w:hAnsi="Cambria Math"/>
                  <w:sz w:val="22"/>
                  <w:szCs w:val="22"/>
                  <w:lang w:val="en-US"/>
                </w:rPr>
                <m:t>Equity</m:t>
              </m:r>
            </m:num>
            <m:den>
              <m:r>
                <w:rPr>
                  <w:rFonts w:ascii="Cambria Math" w:eastAsia="SimSun" w:hAnsi="Cambria Math"/>
                  <w:sz w:val="22"/>
                  <w:szCs w:val="22"/>
                  <w:lang w:val="en-US"/>
                </w:rPr>
                <m:t>Debt+Equity</m:t>
              </m:r>
            </m:den>
          </m:f>
          <m:r>
            <w:rPr>
              <w:rFonts w:ascii="Cambria Math" w:eastAsia="SimSun" w:hAnsi="Cambria Math"/>
              <w:sz w:val="22"/>
              <w:szCs w:val="22"/>
              <w:lang w:val="en-US"/>
            </w:rPr>
            <m:t>=</m:t>
          </m:r>
          <m:f>
            <m:fPr>
              <m:ctrlPr>
                <w:rPr>
                  <w:rFonts w:ascii="Cambria Math" w:eastAsia="SimSun" w:hAnsi="Cambria Math"/>
                  <w:i/>
                  <w:sz w:val="22"/>
                  <w:szCs w:val="22"/>
                  <w:lang w:val="en-US"/>
                </w:rPr>
              </m:ctrlPr>
            </m:fPr>
            <m:num>
              <m:r>
                <w:rPr>
                  <w:rFonts w:ascii="Cambria Math" w:eastAsia="SimSun" w:hAnsi="Cambria Math"/>
                  <w:sz w:val="22"/>
                  <w:szCs w:val="22"/>
                  <w:lang w:val="en-US"/>
                </w:rPr>
                <m:t>2 848.32</m:t>
              </m:r>
            </m:num>
            <m:den>
              <m:r>
                <w:rPr>
                  <w:rFonts w:ascii="Cambria Math" w:eastAsia="SimSun" w:hAnsi="Cambria Math"/>
                  <w:sz w:val="22"/>
                  <w:szCs w:val="22"/>
                  <w:lang w:val="en-US"/>
                </w:rPr>
                <m:t>3 848.34+2 848.32</m:t>
              </m:r>
            </m:den>
          </m:f>
          <m:r>
            <w:rPr>
              <w:rFonts w:ascii="Cambria Math" w:eastAsia="SimSun" w:hAnsi="Cambria Math"/>
              <w:sz w:val="22"/>
              <w:szCs w:val="22"/>
              <w:lang w:val="en-US"/>
            </w:rPr>
            <m:t xml:space="preserve">=0.43,  </m:t>
          </m:r>
          <m:sSub>
            <m:sSubPr>
              <m:ctrlPr>
                <w:rPr>
                  <w:rFonts w:ascii="Cambria Math" w:eastAsia="SimSun" w:hAnsi="Cambria Math"/>
                  <w:i/>
                  <w:sz w:val="22"/>
                  <w:szCs w:val="22"/>
                  <w:lang w:val="en-US"/>
                </w:rPr>
              </m:ctrlPr>
            </m:sSubPr>
            <m:e>
              <m:r>
                <w:rPr>
                  <w:rFonts w:ascii="Cambria Math" w:eastAsia="SimSun" w:hAnsi="Cambria Math"/>
                  <w:sz w:val="22"/>
                  <w:szCs w:val="22"/>
                  <w:lang w:val="en-US"/>
                </w:rPr>
                <m:t>w</m:t>
              </m:r>
            </m:e>
            <m:sub>
              <m:r>
                <w:rPr>
                  <w:rFonts w:ascii="Cambria Math" w:eastAsia="SimSun" w:hAnsi="Cambria Math"/>
                  <w:sz w:val="22"/>
                  <w:szCs w:val="22"/>
                  <w:lang w:val="en-US"/>
                </w:rPr>
                <m:t>d</m:t>
              </m:r>
            </m:sub>
          </m:sSub>
          <m:r>
            <w:rPr>
              <w:rFonts w:ascii="Cambria Math" w:eastAsia="SimSun" w:hAnsi="Cambria Math"/>
              <w:sz w:val="22"/>
              <w:szCs w:val="22"/>
              <w:lang w:val="en-US"/>
            </w:rPr>
            <m:t>=1-</m:t>
          </m:r>
          <m:sSub>
            <m:sSubPr>
              <m:ctrlPr>
                <w:rPr>
                  <w:rFonts w:ascii="Cambria Math" w:eastAsia="SimSun" w:hAnsi="Cambria Math"/>
                  <w:i/>
                  <w:sz w:val="22"/>
                  <w:szCs w:val="22"/>
                  <w:lang w:val="en-US"/>
                </w:rPr>
              </m:ctrlPr>
            </m:sSubPr>
            <m:e>
              <m:r>
                <w:rPr>
                  <w:rFonts w:ascii="Cambria Math" w:eastAsia="SimSun" w:hAnsi="Cambria Math"/>
                  <w:sz w:val="22"/>
                  <w:szCs w:val="22"/>
                  <w:lang w:val="en-US"/>
                </w:rPr>
                <m:t>w</m:t>
              </m:r>
            </m:e>
            <m:sub>
              <m:r>
                <w:rPr>
                  <w:rFonts w:ascii="Cambria Math" w:eastAsia="SimSun" w:hAnsi="Cambria Math"/>
                  <w:sz w:val="22"/>
                  <w:szCs w:val="22"/>
                  <w:lang w:val="en-US"/>
                </w:rPr>
                <m:t>e</m:t>
              </m:r>
            </m:sub>
          </m:sSub>
          <m:r>
            <w:rPr>
              <w:rFonts w:ascii="Cambria Math" w:eastAsia="SimSun" w:hAnsi="Cambria Math"/>
              <w:sz w:val="22"/>
              <w:szCs w:val="22"/>
              <w:lang w:val="en-US"/>
            </w:rPr>
            <m:t>=0.57</m:t>
          </m:r>
        </m:oMath>
      </m:oMathPara>
    </w:p>
    <w:p w14:paraId="1369C194" w14:textId="77777777" w:rsidR="00D3516E" w:rsidRPr="003B35F0" w:rsidRDefault="00D3516E" w:rsidP="00635CF4">
      <w:pPr>
        <w:spacing w:before="240" w:after="240" w:line="360" w:lineRule="auto"/>
        <w:rPr>
          <w:rFonts w:eastAsia="SimSun"/>
          <w:b/>
          <w:bCs/>
          <w:lang w:val="en-US"/>
        </w:rPr>
      </w:pPr>
      <w:r w:rsidRPr="003B35F0">
        <w:rPr>
          <w:rFonts w:eastAsia="SimSun"/>
          <w:b/>
          <w:bCs/>
          <w:lang w:val="en-US"/>
        </w:rPr>
        <w:t>2.3. Terminal Value (PGM)</w:t>
      </w:r>
    </w:p>
    <w:p w14:paraId="5B33FE8A" w14:textId="77777777" w:rsidR="00D3516E" w:rsidRPr="003B35F0" w:rsidRDefault="00D3516E" w:rsidP="00635CF4">
      <w:pPr>
        <w:spacing w:before="240"/>
        <w:rPr>
          <w:color w:val="000000"/>
          <w:sz w:val="22"/>
          <w:szCs w:val="22"/>
        </w:rPr>
      </w:pPr>
      <m:oMathPara>
        <m:oMathParaPr>
          <m:jc m:val="left"/>
        </m:oMathParaPr>
        <m:oMath>
          <m:r>
            <w:rPr>
              <w:rFonts w:ascii="Cambria Math" w:hAnsi="Cambria Math"/>
              <w:color w:val="000000"/>
              <w:sz w:val="22"/>
              <w:szCs w:val="22"/>
            </w:rPr>
            <m:t>TV</m:t>
          </m:r>
          <m:r>
            <m:rPr>
              <m:sty m:val="p"/>
            </m:rP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FC</m:t>
              </m:r>
              <m:sSub>
                <m:sSubPr>
                  <m:ctrlPr>
                    <w:rPr>
                      <w:rFonts w:ascii="Cambria Math" w:hAnsi="Cambria Math"/>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2018</m:t>
                  </m:r>
                </m:sub>
              </m:sSub>
              <m:r>
                <m:rPr>
                  <m:sty m:val="p"/>
                </m:rPr>
                <w:rPr>
                  <w:rFonts w:ascii="Cambria Math" w:hAnsi="Cambria Math"/>
                  <w:color w:val="000000"/>
                  <w:sz w:val="22"/>
                  <w:szCs w:val="22"/>
                </w:rPr>
                <m:t>×</m:t>
              </m:r>
              <m:d>
                <m:dPr>
                  <m:ctrlPr>
                    <w:rPr>
                      <w:rFonts w:ascii="Cambria Math" w:hAnsi="Cambria Math"/>
                      <w:color w:val="000000"/>
                      <w:sz w:val="22"/>
                      <w:szCs w:val="22"/>
                    </w:rPr>
                  </m:ctrlPr>
                </m:dPr>
                <m:e>
                  <m:r>
                    <m:rPr>
                      <m:sty m:val="p"/>
                    </m:rPr>
                    <w:rPr>
                      <w:rFonts w:ascii="Cambria Math" w:hAnsi="Cambria Math"/>
                      <w:color w:val="000000"/>
                      <w:sz w:val="22"/>
                      <w:szCs w:val="22"/>
                    </w:rPr>
                    <m:t>1+g</m:t>
                  </m:r>
                </m:e>
              </m:d>
            </m:num>
            <m:den>
              <m:r>
                <m:rPr>
                  <m:sty m:val="p"/>
                </m:rPr>
                <w:rPr>
                  <w:rFonts w:ascii="Cambria Math" w:hAnsi="Cambria Math"/>
                  <w:color w:val="000000"/>
                  <w:sz w:val="22"/>
                  <w:szCs w:val="22"/>
                </w:rPr>
                <m:t>WACC-g</m:t>
              </m:r>
            </m:den>
          </m:f>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1 460</m:t>
              </m:r>
              <m:r>
                <m:rPr>
                  <m:sty m:val="p"/>
                </m:rPr>
                <w:rPr>
                  <w:rFonts w:ascii="Cambria Math" w:hAnsi="Cambria Math"/>
                  <w:color w:val="000000"/>
                  <w:sz w:val="22"/>
                  <w:szCs w:val="22"/>
                </w:rPr>
                <m:t>×</m:t>
              </m:r>
              <m:d>
                <m:dPr>
                  <m:ctrlPr>
                    <w:rPr>
                      <w:rFonts w:ascii="Cambria Math" w:hAnsi="Cambria Math"/>
                      <w:color w:val="000000"/>
                      <w:sz w:val="22"/>
                      <w:szCs w:val="22"/>
                    </w:rPr>
                  </m:ctrlPr>
                </m:dPr>
                <m:e>
                  <m:r>
                    <m:rPr>
                      <m:sty m:val="p"/>
                    </m:rPr>
                    <w:rPr>
                      <w:rFonts w:ascii="Cambria Math" w:hAnsi="Cambria Math"/>
                      <w:color w:val="000000"/>
                      <w:sz w:val="22"/>
                      <w:szCs w:val="22"/>
                    </w:rPr>
                    <m:t>1.01</m:t>
                  </m:r>
                </m:e>
              </m:d>
            </m:num>
            <m:den>
              <m:r>
                <m:rPr>
                  <m:sty m:val="p"/>
                </m:rPr>
                <w:rPr>
                  <w:rFonts w:ascii="Cambria Math" w:hAnsi="Cambria Math"/>
                  <w:color w:val="000000"/>
                  <w:sz w:val="22"/>
                  <w:szCs w:val="22"/>
                </w:rPr>
                <m:t>0.0418-0.01</m:t>
              </m:r>
            </m:den>
          </m:f>
          <m:r>
            <w:rPr>
              <w:rFonts w:ascii="Cambria Math" w:hAnsi="Cambria Math"/>
              <w:color w:val="000000"/>
              <w:sz w:val="22"/>
              <w:szCs w:val="22"/>
            </w:rPr>
            <m:t>=46 332 million USD</m:t>
          </m:r>
        </m:oMath>
      </m:oMathPara>
    </w:p>
    <w:p w14:paraId="74B8E1AD" w14:textId="77777777" w:rsidR="0068595F" w:rsidRPr="003B35F0" w:rsidRDefault="0068595F" w:rsidP="0068595F">
      <w:pPr>
        <w:spacing w:before="240" w:after="240" w:line="360" w:lineRule="auto"/>
        <w:rPr>
          <w:rFonts w:eastAsia="SimSun"/>
          <w:b/>
          <w:bCs/>
          <w:lang w:val="en-US"/>
        </w:rPr>
      </w:pPr>
      <w:r w:rsidRPr="003B35F0">
        <w:rPr>
          <w:rFonts w:eastAsia="SimSun"/>
          <w:b/>
          <w:bCs/>
          <w:lang w:val="en-US"/>
        </w:rPr>
        <w:t>2.4. Terminal Value (EM)</w:t>
      </w:r>
    </w:p>
    <w:p w14:paraId="73B6991D" w14:textId="77777777" w:rsidR="0068595F" w:rsidRPr="003B35F0" w:rsidRDefault="0068595F" w:rsidP="0068595F">
      <w:pPr>
        <w:spacing w:before="240" w:after="240" w:line="360" w:lineRule="auto"/>
        <w:rPr>
          <w:rFonts w:eastAsia="SimSun"/>
          <w:b/>
          <w:bCs/>
          <w:i/>
          <w:lang w:val="en-US"/>
        </w:rPr>
      </w:pPr>
      <m:oMathPara>
        <m:oMathParaPr>
          <m:jc m:val="left"/>
        </m:oMathParaPr>
        <m:oMath>
          <m:r>
            <w:rPr>
              <w:rFonts w:ascii="Cambria Math" w:hAnsi="Cambria Math"/>
              <w:color w:val="000000"/>
              <w:sz w:val="22"/>
              <w:szCs w:val="22"/>
            </w:rPr>
            <m:t>TV</m:t>
          </m:r>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EBITDA</m:t>
              </m:r>
            </m:e>
            <m:sub>
              <m:r>
                <w:rPr>
                  <w:rFonts w:ascii="Cambria Math" w:hAnsi="Cambria Math"/>
                  <w:color w:val="000000"/>
                  <w:sz w:val="22"/>
                  <w:szCs w:val="22"/>
                </w:rPr>
                <m:t>2018</m:t>
              </m:r>
            </m:sub>
          </m:sSub>
          <m:r>
            <m:rPr>
              <m:sty m:val="p"/>
            </m:rPr>
            <w:rPr>
              <w:rFonts w:ascii="Cambria Math" w:hAnsi="Cambria Math"/>
              <w:color w:val="000000"/>
              <w:sz w:val="22"/>
              <w:szCs w:val="22"/>
            </w:rPr>
            <m:t>×</m:t>
          </m:r>
          <m:r>
            <w:rPr>
              <w:rFonts w:ascii="Cambria Math" w:hAnsi="Cambria Math"/>
              <w:color w:val="000000"/>
              <w:sz w:val="22"/>
              <w:szCs w:val="22"/>
              <w:lang w:val="en-US"/>
            </w:rPr>
            <m:t>Exit Multiple</m:t>
          </m:r>
          <m:r>
            <w:rPr>
              <w:rFonts w:ascii="Cambria Math" w:hAnsi="Cambria Math"/>
              <w:color w:val="000000"/>
              <w:sz w:val="22"/>
              <w:szCs w:val="22"/>
            </w:rPr>
            <m:t>=2 789×10.4=29 006 million USD</m:t>
          </m:r>
        </m:oMath>
      </m:oMathPara>
    </w:p>
    <w:p w14:paraId="3F1CE3B3" w14:textId="77777777" w:rsidR="00635CF4" w:rsidRPr="003B35F0" w:rsidRDefault="00635CF4" w:rsidP="00635CF4">
      <w:pPr>
        <w:spacing w:before="240" w:after="240"/>
        <w:rPr>
          <w:color w:val="000000"/>
          <w:sz w:val="22"/>
          <w:szCs w:val="22"/>
          <w:lang w:val="en-US"/>
        </w:rPr>
      </w:pPr>
      <w:r w:rsidRPr="003B35F0">
        <w:rPr>
          <w:rFonts w:eastAsia="SimSun"/>
          <w:b/>
          <w:bCs/>
          <w:lang w:val="en-US"/>
        </w:rPr>
        <w:t>2.</w:t>
      </w:r>
      <w:r w:rsidR="0068595F" w:rsidRPr="003B35F0">
        <w:rPr>
          <w:rFonts w:eastAsia="SimSun"/>
          <w:b/>
          <w:bCs/>
          <w:lang w:val="en-US"/>
        </w:rPr>
        <w:t>5</w:t>
      </w:r>
      <w:r w:rsidRPr="003B35F0">
        <w:rPr>
          <w:rFonts w:eastAsia="SimSun"/>
          <w:b/>
          <w:bCs/>
          <w:lang w:val="en-US"/>
        </w:rPr>
        <w:t>.</w:t>
      </w:r>
      <w:r w:rsidR="0068595F" w:rsidRPr="003B35F0">
        <w:rPr>
          <w:rFonts w:eastAsia="SimSun"/>
          <w:b/>
          <w:bCs/>
          <w:lang w:val="en-US"/>
        </w:rPr>
        <w:t>1.</w:t>
      </w:r>
      <w:r w:rsidRPr="003B35F0">
        <w:rPr>
          <w:rFonts w:eastAsia="SimSun"/>
          <w:b/>
          <w:bCs/>
          <w:lang w:val="en-US"/>
        </w:rPr>
        <w:t xml:space="preserve"> Valuation</w:t>
      </w:r>
      <w:r w:rsidR="0068595F" w:rsidRPr="003B35F0">
        <w:rPr>
          <w:rFonts w:eastAsia="SimSun"/>
          <w:b/>
          <w:bCs/>
          <w:lang w:val="en-US"/>
        </w:rPr>
        <w:t xml:space="preserve"> PGM</w:t>
      </w:r>
    </w:p>
    <w:p w14:paraId="52580EBC" w14:textId="77777777" w:rsidR="00635CF4" w:rsidRPr="003B35F0" w:rsidRDefault="00635CF4" w:rsidP="00635CF4">
      <w:pPr>
        <w:spacing w:before="240"/>
        <w:rPr>
          <w:i/>
          <w:color w:val="000000"/>
          <w:sz w:val="22"/>
          <w:szCs w:val="22"/>
        </w:rPr>
      </w:pPr>
      <m:oMathPara>
        <m:oMathParaPr>
          <m:jc m:val="left"/>
        </m:oMathParaPr>
        <m:oMath>
          <m:r>
            <w:rPr>
              <w:rFonts w:ascii="Cambria Math" w:hAnsi="Cambria Math"/>
              <w:color w:val="000000"/>
              <w:sz w:val="22"/>
              <w:szCs w:val="22"/>
            </w:rPr>
            <m:t>EV</m:t>
          </m:r>
          <m:r>
            <m:rPr>
              <m:sty m:val="p"/>
            </m:rPr>
            <w:rPr>
              <w:rFonts w:ascii="Cambria Math" w:hAnsi="Cambria Math"/>
              <w:color w:val="000000"/>
              <w:sz w:val="22"/>
              <w:szCs w:val="22"/>
            </w:rPr>
            <m:t>=</m:t>
          </m:r>
          <m:nary>
            <m:naryPr>
              <m:chr m:val="∑"/>
              <m:limLoc m:val="undOvr"/>
              <m:ctrlPr>
                <w:rPr>
                  <w:rFonts w:ascii="Cambria Math" w:hAnsi="Cambria Math"/>
                  <w:color w:val="000000"/>
                  <w:sz w:val="22"/>
                  <w:szCs w:val="22"/>
                </w:rPr>
              </m:ctrlPr>
            </m:naryPr>
            <m:sub>
              <m:r>
                <w:rPr>
                  <w:rFonts w:ascii="Cambria Math" w:hAnsi="Cambria Math"/>
                  <w:color w:val="000000"/>
                  <w:sz w:val="22"/>
                  <w:szCs w:val="22"/>
                </w:rPr>
                <m:t>t=1</m:t>
              </m:r>
            </m:sub>
            <m:sup>
              <m:r>
                <w:rPr>
                  <w:rFonts w:ascii="Cambria Math" w:hAnsi="Cambria Math"/>
                  <w:color w:val="000000"/>
                  <w:sz w:val="22"/>
                  <w:szCs w:val="22"/>
                </w:rPr>
                <m:t>6</m:t>
              </m:r>
            </m:sup>
            <m:e>
              <m:f>
                <m:fPr>
                  <m:ctrlPr>
                    <w:rPr>
                      <w:rFonts w:ascii="Cambria Math" w:hAnsi="Cambria Math"/>
                      <w:color w:val="000000"/>
                      <w:sz w:val="22"/>
                      <w:szCs w:val="22"/>
                    </w:rPr>
                  </m:ctrlPr>
                </m:fPr>
                <m:num>
                  <m:r>
                    <w:rPr>
                      <w:rFonts w:ascii="Cambria Math" w:hAnsi="Cambria Math"/>
                      <w:color w:val="000000"/>
                      <w:sz w:val="22"/>
                      <w:szCs w:val="22"/>
                    </w:rPr>
                    <m:t>FC</m:t>
                  </m:r>
                  <m:sSub>
                    <m:sSubPr>
                      <m:ctrlPr>
                        <w:rPr>
                          <w:rFonts w:ascii="Cambria Math" w:hAnsi="Cambria Math"/>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t</m:t>
                      </m:r>
                    </m:sub>
                  </m:sSub>
                </m:num>
                <m:den>
                  <m:sSup>
                    <m:sSupPr>
                      <m:ctrlPr>
                        <w:rPr>
                          <w:rFonts w:ascii="Cambria Math" w:hAnsi="Cambria Math"/>
                          <w:color w:val="000000"/>
                          <w:sz w:val="22"/>
                          <w:szCs w:val="22"/>
                        </w:rPr>
                      </m:ctrlPr>
                    </m:sSupPr>
                    <m:e>
                      <m:r>
                        <m:rPr>
                          <m:sty m:val="p"/>
                        </m:rPr>
                        <w:rPr>
                          <w:rFonts w:ascii="Cambria Math" w:hAnsi="Cambria Math"/>
                          <w:color w:val="000000"/>
                          <w:sz w:val="22"/>
                          <w:szCs w:val="22"/>
                        </w:rPr>
                        <m:t>(1+WACC)</m:t>
                      </m:r>
                    </m:e>
                    <m:sup>
                      <m:r>
                        <w:rPr>
                          <w:rFonts w:ascii="Cambria Math" w:hAnsi="Cambria Math"/>
                          <w:color w:val="000000"/>
                          <w:sz w:val="22"/>
                          <w:szCs w:val="22"/>
                        </w:rPr>
                        <m:t>t</m:t>
                      </m:r>
                    </m:sup>
                  </m:sSup>
                </m:den>
              </m:f>
            </m:e>
          </m:nary>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TV</m:t>
              </m:r>
            </m:num>
            <m:den>
              <m:sSup>
                <m:sSupPr>
                  <m:ctrlPr>
                    <w:rPr>
                      <w:rFonts w:ascii="Cambria Math" w:hAnsi="Cambria Math"/>
                      <w:color w:val="000000"/>
                      <w:sz w:val="22"/>
                      <w:szCs w:val="22"/>
                    </w:rPr>
                  </m:ctrlPr>
                </m:sSupPr>
                <m:e>
                  <m:r>
                    <m:rPr>
                      <m:sty m:val="p"/>
                    </m:rPr>
                    <w:rPr>
                      <w:rFonts w:ascii="Cambria Math" w:hAnsi="Cambria Math"/>
                      <w:color w:val="000000"/>
                      <w:sz w:val="22"/>
                      <w:szCs w:val="22"/>
                    </w:rPr>
                    <m:t>(1+WACC)</m:t>
                  </m:r>
                </m:e>
                <m:sup>
                  <m:r>
                    <w:rPr>
                      <w:rFonts w:ascii="Cambria Math" w:hAnsi="Cambria Math"/>
                      <w:color w:val="000000"/>
                      <w:sz w:val="22"/>
                      <w:szCs w:val="22"/>
                    </w:rPr>
                    <m:t>6</m:t>
                  </m:r>
                </m:sup>
              </m:sSup>
            </m:den>
          </m:f>
          <m:r>
            <w:rPr>
              <w:rFonts w:ascii="Cambria Math" w:hAnsi="Cambria Math"/>
              <w:color w:val="000000"/>
              <w:sz w:val="22"/>
              <w:szCs w:val="22"/>
            </w:rPr>
            <m:t>=42 751 million USD</m:t>
          </m:r>
        </m:oMath>
      </m:oMathPara>
    </w:p>
    <w:p w14:paraId="173A31CB" w14:textId="77777777" w:rsidR="00635CF4" w:rsidRPr="003B35F0" w:rsidRDefault="00635CF4" w:rsidP="00635CF4">
      <w:pPr>
        <w:spacing w:before="240"/>
        <w:rPr>
          <w:i/>
          <w:color w:val="000000"/>
          <w:sz w:val="22"/>
          <w:szCs w:val="22"/>
        </w:rPr>
      </w:pPr>
      <m:oMathPara>
        <m:oMathParaPr>
          <m:jc m:val="left"/>
        </m:oMathParaPr>
        <m:oMath>
          <m:r>
            <w:rPr>
              <w:rFonts w:ascii="Cambria Math" w:hAnsi="Cambria Math"/>
              <w:color w:val="000000"/>
              <w:sz w:val="22"/>
              <w:szCs w:val="22"/>
            </w:rPr>
            <m:t>Equity</m:t>
          </m:r>
          <m:r>
            <m:rPr>
              <m:sty m:val="p"/>
            </m:rPr>
            <w:rPr>
              <w:rFonts w:ascii="Cambria Math" w:hAnsi="Cambria Math"/>
              <w:color w:val="000000"/>
              <w:sz w:val="22"/>
              <w:szCs w:val="22"/>
            </w:rPr>
            <m:t>=EV-Net Debt=</m:t>
          </m:r>
          <m:r>
            <w:rPr>
              <w:rFonts w:ascii="Cambria Math" w:hAnsi="Cambria Math"/>
              <w:color w:val="000000"/>
              <w:sz w:val="22"/>
              <w:szCs w:val="22"/>
            </w:rPr>
            <m:t>42 751-3 531=39 220 million USD</m:t>
          </m:r>
        </m:oMath>
      </m:oMathPara>
    </w:p>
    <w:p w14:paraId="2E94F703" w14:textId="77777777" w:rsidR="00E70817" w:rsidRPr="003B35F0" w:rsidRDefault="00635CF4" w:rsidP="00024EE9">
      <w:pPr>
        <w:spacing w:before="240"/>
        <w:rPr>
          <w:color w:val="000000"/>
          <w:sz w:val="22"/>
          <w:szCs w:val="22"/>
        </w:rPr>
      </w:pPr>
      <m:oMathPara>
        <m:oMathParaPr>
          <m:jc m:val="left"/>
        </m:oMathParaPr>
        <m:oMath>
          <m:r>
            <w:rPr>
              <w:rFonts w:ascii="Cambria Math" w:hAnsi="Cambria Math"/>
              <w:color w:val="000000"/>
              <w:sz w:val="22"/>
              <w:szCs w:val="22"/>
            </w:rPr>
            <m:t>Price per share</m:t>
          </m:r>
          <m:r>
            <m:rPr>
              <m:sty m:val="p"/>
            </m:rP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 xml:space="preserve">39 220 </m:t>
              </m:r>
            </m:num>
            <m:den>
              <m:r>
                <w:rPr>
                  <w:rFonts w:ascii="Cambria Math" w:hAnsi="Cambria Math"/>
                  <w:color w:val="000000"/>
                  <w:sz w:val="22"/>
                  <w:szCs w:val="22"/>
                </w:rPr>
                <m:t>323.172</m:t>
              </m:r>
            </m:den>
          </m:f>
          <m:r>
            <w:rPr>
              <w:rFonts w:ascii="Cambria Math" w:hAnsi="Cambria Math"/>
              <w:color w:val="000000"/>
              <w:sz w:val="22"/>
              <w:szCs w:val="22"/>
            </w:rPr>
            <m:t>=121.36 USD</m:t>
          </m:r>
        </m:oMath>
      </m:oMathPara>
    </w:p>
    <w:p w14:paraId="23D505C2" w14:textId="77777777" w:rsidR="0068595F" w:rsidRPr="003B35F0" w:rsidRDefault="0068595F" w:rsidP="0068595F">
      <w:pPr>
        <w:spacing w:before="240" w:after="240"/>
        <w:rPr>
          <w:color w:val="000000"/>
          <w:sz w:val="22"/>
          <w:szCs w:val="22"/>
          <w:lang w:val="en-US"/>
        </w:rPr>
      </w:pPr>
      <w:r w:rsidRPr="003B35F0">
        <w:rPr>
          <w:rFonts w:eastAsia="SimSun"/>
          <w:b/>
          <w:bCs/>
          <w:lang w:val="en-US"/>
        </w:rPr>
        <w:t>2.5.2. Valuation EM</w:t>
      </w:r>
    </w:p>
    <w:p w14:paraId="3E4AAAE2" w14:textId="77777777" w:rsidR="0068595F" w:rsidRPr="003B35F0" w:rsidRDefault="0068595F" w:rsidP="0068595F">
      <w:pPr>
        <w:spacing w:before="240"/>
        <w:rPr>
          <w:i/>
          <w:color w:val="000000"/>
          <w:sz w:val="22"/>
          <w:szCs w:val="22"/>
        </w:rPr>
      </w:pPr>
      <m:oMathPara>
        <m:oMathParaPr>
          <m:jc m:val="left"/>
        </m:oMathParaPr>
        <m:oMath>
          <m:r>
            <w:rPr>
              <w:rFonts w:ascii="Cambria Math" w:hAnsi="Cambria Math"/>
              <w:color w:val="000000"/>
              <w:sz w:val="22"/>
              <w:szCs w:val="22"/>
            </w:rPr>
            <m:t>EV</m:t>
          </m:r>
          <m:r>
            <m:rPr>
              <m:sty m:val="p"/>
            </m:rPr>
            <w:rPr>
              <w:rFonts w:ascii="Cambria Math" w:hAnsi="Cambria Math"/>
              <w:color w:val="000000"/>
              <w:sz w:val="22"/>
              <w:szCs w:val="22"/>
            </w:rPr>
            <m:t>=</m:t>
          </m:r>
          <m:nary>
            <m:naryPr>
              <m:chr m:val="∑"/>
              <m:limLoc m:val="undOvr"/>
              <m:ctrlPr>
                <w:rPr>
                  <w:rFonts w:ascii="Cambria Math" w:hAnsi="Cambria Math"/>
                  <w:color w:val="000000"/>
                  <w:sz w:val="22"/>
                  <w:szCs w:val="22"/>
                </w:rPr>
              </m:ctrlPr>
            </m:naryPr>
            <m:sub>
              <m:r>
                <w:rPr>
                  <w:rFonts w:ascii="Cambria Math" w:hAnsi="Cambria Math"/>
                  <w:color w:val="000000"/>
                  <w:sz w:val="22"/>
                  <w:szCs w:val="22"/>
                </w:rPr>
                <m:t>t=1</m:t>
              </m:r>
            </m:sub>
            <m:sup>
              <m:r>
                <w:rPr>
                  <w:rFonts w:ascii="Cambria Math" w:hAnsi="Cambria Math"/>
                  <w:color w:val="000000"/>
                  <w:sz w:val="22"/>
                  <w:szCs w:val="22"/>
                </w:rPr>
                <m:t>6</m:t>
              </m:r>
            </m:sup>
            <m:e>
              <m:f>
                <m:fPr>
                  <m:ctrlPr>
                    <w:rPr>
                      <w:rFonts w:ascii="Cambria Math" w:hAnsi="Cambria Math"/>
                      <w:color w:val="000000"/>
                      <w:sz w:val="22"/>
                      <w:szCs w:val="22"/>
                    </w:rPr>
                  </m:ctrlPr>
                </m:fPr>
                <m:num>
                  <m:r>
                    <w:rPr>
                      <w:rFonts w:ascii="Cambria Math" w:hAnsi="Cambria Math"/>
                      <w:color w:val="000000"/>
                      <w:sz w:val="22"/>
                      <w:szCs w:val="22"/>
                    </w:rPr>
                    <m:t>FC</m:t>
                  </m:r>
                  <m:sSub>
                    <m:sSubPr>
                      <m:ctrlPr>
                        <w:rPr>
                          <w:rFonts w:ascii="Cambria Math" w:hAnsi="Cambria Math"/>
                          <w:color w:val="000000"/>
                          <w:sz w:val="22"/>
                          <w:szCs w:val="22"/>
                        </w:rPr>
                      </m:ctrlPr>
                    </m:sSubPr>
                    <m:e>
                      <m:r>
                        <w:rPr>
                          <w:rFonts w:ascii="Cambria Math" w:hAnsi="Cambria Math"/>
                          <w:color w:val="000000"/>
                          <w:sz w:val="22"/>
                          <w:szCs w:val="22"/>
                        </w:rPr>
                        <m:t>F</m:t>
                      </m:r>
                    </m:e>
                    <m:sub>
                      <m:r>
                        <w:rPr>
                          <w:rFonts w:ascii="Cambria Math" w:hAnsi="Cambria Math"/>
                          <w:color w:val="000000"/>
                          <w:sz w:val="22"/>
                          <w:szCs w:val="22"/>
                        </w:rPr>
                        <m:t>t</m:t>
                      </m:r>
                    </m:sub>
                  </m:sSub>
                </m:num>
                <m:den>
                  <m:sSup>
                    <m:sSupPr>
                      <m:ctrlPr>
                        <w:rPr>
                          <w:rFonts w:ascii="Cambria Math" w:hAnsi="Cambria Math"/>
                          <w:color w:val="000000"/>
                          <w:sz w:val="22"/>
                          <w:szCs w:val="22"/>
                        </w:rPr>
                      </m:ctrlPr>
                    </m:sSupPr>
                    <m:e>
                      <m:r>
                        <m:rPr>
                          <m:sty m:val="p"/>
                        </m:rPr>
                        <w:rPr>
                          <w:rFonts w:ascii="Cambria Math" w:hAnsi="Cambria Math"/>
                          <w:color w:val="000000"/>
                          <w:sz w:val="22"/>
                          <w:szCs w:val="22"/>
                        </w:rPr>
                        <m:t>(1+WACC)</m:t>
                      </m:r>
                    </m:e>
                    <m:sup>
                      <m:r>
                        <w:rPr>
                          <w:rFonts w:ascii="Cambria Math" w:hAnsi="Cambria Math"/>
                          <w:color w:val="000000"/>
                          <w:sz w:val="22"/>
                          <w:szCs w:val="22"/>
                        </w:rPr>
                        <m:t>t</m:t>
                      </m:r>
                    </m:sup>
                  </m:sSup>
                </m:den>
              </m:f>
            </m:e>
          </m:nary>
          <m: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TV</m:t>
              </m:r>
            </m:num>
            <m:den>
              <m:sSup>
                <m:sSupPr>
                  <m:ctrlPr>
                    <w:rPr>
                      <w:rFonts w:ascii="Cambria Math" w:hAnsi="Cambria Math"/>
                      <w:color w:val="000000"/>
                      <w:sz w:val="22"/>
                      <w:szCs w:val="22"/>
                    </w:rPr>
                  </m:ctrlPr>
                </m:sSupPr>
                <m:e>
                  <m:r>
                    <m:rPr>
                      <m:sty m:val="p"/>
                    </m:rPr>
                    <w:rPr>
                      <w:rFonts w:ascii="Cambria Math" w:hAnsi="Cambria Math"/>
                      <w:color w:val="000000"/>
                      <w:sz w:val="22"/>
                      <w:szCs w:val="22"/>
                    </w:rPr>
                    <m:t>(1+WACC)</m:t>
                  </m:r>
                </m:e>
                <m:sup>
                  <m:r>
                    <w:rPr>
                      <w:rFonts w:ascii="Cambria Math" w:hAnsi="Cambria Math"/>
                      <w:color w:val="000000"/>
                      <w:sz w:val="22"/>
                      <w:szCs w:val="22"/>
                    </w:rPr>
                    <m:t>6</m:t>
                  </m:r>
                </m:sup>
              </m:sSup>
            </m:den>
          </m:f>
          <m:r>
            <w:rPr>
              <w:rFonts w:ascii="Cambria Math" w:hAnsi="Cambria Math"/>
              <w:color w:val="000000"/>
              <w:sz w:val="22"/>
              <w:szCs w:val="22"/>
            </w:rPr>
            <m:t>=30 150 million USD</m:t>
          </m:r>
        </m:oMath>
      </m:oMathPara>
    </w:p>
    <w:p w14:paraId="518A7DE9" w14:textId="77777777" w:rsidR="0068595F" w:rsidRPr="003B35F0" w:rsidRDefault="0068595F" w:rsidP="0068595F">
      <w:pPr>
        <w:spacing w:before="240"/>
        <w:rPr>
          <w:i/>
          <w:color w:val="000000"/>
          <w:sz w:val="22"/>
          <w:szCs w:val="22"/>
        </w:rPr>
      </w:pPr>
      <m:oMathPara>
        <m:oMathParaPr>
          <m:jc m:val="left"/>
        </m:oMathParaPr>
        <m:oMath>
          <m:r>
            <w:rPr>
              <w:rFonts w:ascii="Cambria Math" w:hAnsi="Cambria Math"/>
              <w:color w:val="000000"/>
              <w:sz w:val="22"/>
              <w:szCs w:val="22"/>
            </w:rPr>
            <m:t>Equity</m:t>
          </m:r>
          <m:r>
            <m:rPr>
              <m:sty m:val="p"/>
            </m:rPr>
            <w:rPr>
              <w:rFonts w:ascii="Cambria Math" w:hAnsi="Cambria Math"/>
              <w:color w:val="000000"/>
              <w:sz w:val="22"/>
              <w:szCs w:val="22"/>
            </w:rPr>
            <m:t>=EV-Net Debt=</m:t>
          </m:r>
          <m:r>
            <w:rPr>
              <w:rFonts w:ascii="Cambria Math" w:hAnsi="Cambria Math"/>
              <w:color w:val="000000"/>
              <w:sz w:val="22"/>
              <w:szCs w:val="22"/>
            </w:rPr>
            <m:t>30 150-3 531=26 619 million USD</m:t>
          </m:r>
        </m:oMath>
      </m:oMathPara>
    </w:p>
    <w:p w14:paraId="490D3D5E" w14:textId="77777777" w:rsidR="0068595F" w:rsidRPr="003B35F0" w:rsidRDefault="0068595F" w:rsidP="00024EE9">
      <w:pPr>
        <w:spacing w:before="240"/>
        <w:rPr>
          <w:color w:val="000000"/>
          <w:sz w:val="22"/>
          <w:szCs w:val="22"/>
        </w:rPr>
      </w:pPr>
      <m:oMathPara>
        <m:oMathParaPr>
          <m:jc m:val="left"/>
        </m:oMathParaPr>
        <m:oMath>
          <m:r>
            <w:rPr>
              <w:rFonts w:ascii="Cambria Math" w:hAnsi="Cambria Math"/>
              <w:color w:val="000000"/>
              <w:sz w:val="22"/>
              <w:szCs w:val="22"/>
            </w:rPr>
            <w:lastRenderedPageBreak/>
            <m:t>Price per share</m:t>
          </m:r>
          <m:r>
            <m:rPr>
              <m:sty m:val="p"/>
            </m:rPr>
            <w:rPr>
              <w:rFonts w:ascii="Cambria Math" w:hAnsi="Cambria Math"/>
              <w:color w:val="000000"/>
              <w:sz w:val="22"/>
              <w:szCs w:val="22"/>
            </w:rPr>
            <m:t>=</m:t>
          </m:r>
          <m:f>
            <m:fPr>
              <m:ctrlPr>
                <w:rPr>
                  <w:rFonts w:ascii="Cambria Math" w:hAnsi="Cambria Math"/>
                  <w:color w:val="000000"/>
                  <w:sz w:val="22"/>
                  <w:szCs w:val="22"/>
                </w:rPr>
              </m:ctrlPr>
            </m:fPr>
            <m:num>
              <m:r>
                <w:rPr>
                  <w:rFonts w:ascii="Cambria Math" w:hAnsi="Cambria Math"/>
                  <w:color w:val="000000"/>
                  <w:sz w:val="22"/>
                  <w:szCs w:val="22"/>
                </w:rPr>
                <m:t>26 619</m:t>
              </m:r>
            </m:num>
            <m:den>
              <m:r>
                <w:rPr>
                  <w:rFonts w:ascii="Cambria Math" w:hAnsi="Cambria Math"/>
                  <w:color w:val="000000"/>
                  <w:sz w:val="22"/>
                  <w:szCs w:val="22"/>
                </w:rPr>
                <m:t>323.172</m:t>
              </m:r>
            </m:den>
          </m:f>
          <m:r>
            <w:rPr>
              <w:rFonts w:ascii="Cambria Math" w:hAnsi="Cambria Math"/>
              <w:color w:val="000000"/>
              <w:sz w:val="22"/>
              <w:szCs w:val="22"/>
            </w:rPr>
            <m:t>=82.37 USD</m:t>
          </m:r>
        </m:oMath>
      </m:oMathPara>
    </w:p>
    <w:p w14:paraId="1BF8244E" w14:textId="77777777" w:rsidR="00F13103" w:rsidRPr="00C90C6B" w:rsidRDefault="00E70817" w:rsidP="00716B3D">
      <w:pPr>
        <w:pStyle w:val="ListParagraph"/>
        <w:numPr>
          <w:ilvl w:val="0"/>
          <w:numId w:val="9"/>
        </w:numPr>
        <w:spacing w:before="240" w:line="360" w:lineRule="auto"/>
        <w:rPr>
          <w:rFonts w:ascii="Times New Roman" w:hAnsi="Times New Roman" w:cs="Times New Roman"/>
          <w:b/>
          <w:bCs/>
          <w:sz w:val="28"/>
          <w:szCs w:val="28"/>
          <w:lang w:val="en-US"/>
        </w:rPr>
      </w:pPr>
      <w:r w:rsidRPr="00C90C6B">
        <w:rPr>
          <w:rFonts w:ascii="Times New Roman" w:hAnsi="Times New Roman" w:cs="Times New Roman"/>
          <w:b/>
          <w:bCs/>
          <w:sz w:val="28"/>
          <w:szCs w:val="28"/>
          <w:lang w:val="en-US"/>
        </w:rPr>
        <w:t>Precedent Transactio</w:t>
      </w:r>
      <w:r w:rsidR="00C90C6B" w:rsidRPr="00C90C6B">
        <w:rPr>
          <w:rFonts w:ascii="Times New Roman" w:hAnsi="Times New Roman" w:cs="Times New Roman"/>
          <w:b/>
          <w:bCs/>
          <w:sz w:val="28"/>
          <w:szCs w:val="28"/>
          <w:lang w:val="en-US"/>
        </w:rPr>
        <w:t>ns</w:t>
      </w:r>
      <w:r w:rsidRPr="00C90C6B">
        <w:rPr>
          <w:rFonts w:ascii="Times New Roman" w:hAnsi="Times New Roman" w:cs="Times New Roman"/>
          <w:b/>
          <w:bCs/>
          <w:sz w:val="28"/>
          <w:szCs w:val="28"/>
          <w:lang w:val="en-US"/>
        </w:rPr>
        <w:t xml:space="preserve"> Analysis</w:t>
      </w:r>
    </w:p>
    <w:p w14:paraId="1995800E" w14:textId="77777777" w:rsidR="00A471E8" w:rsidRDefault="00A471E8" w:rsidP="00716B3D">
      <w:pPr>
        <w:spacing w:before="240" w:after="240" w:line="360" w:lineRule="auto"/>
        <w:rPr>
          <w:lang w:val="en-US"/>
        </w:rPr>
      </w:pPr>
      <w:r>
        <w:rPr>
          <w:lang w:val="en-US"/>
        </w:rPr>
        <w:t>Median EV/LTM_EBITDA</w:t>
      </w:r>
      <w:r w:rsidR="00716B3D">
        <w:rPr>
          <w:lang w:val="en-US"/>
        </w:rPr>
        <w:t xml:space="preserve"> </w:t>
      </w:r>
      <w:r>
        <w:rPr>
          <w:lang w:val="en-US"/>
        </w:rPr>
        <w:t>=</w:t>
      </w:r>
      <w:r w:rsidR="00716B3D">
        <w:rPr>
          <w:lang w:val="en-US"/>
        </w:rPr>
        <w:t xml:space="preserve"> </w:t>
      </w:r>
      <w:r>
        <w:rPr>
          <w:lang w:val="en-US"/>
        </w:rPr>
        <w:t>10.4x</w:t>
      </w:r>
    </w:p>
    <w:p w14:paraId="175E6A03" w14:textId="77777777" w:rsidR="00A471E8" w:rsidRDefault="00A471E8" w:rsidP="00716B3D">
      <w:pPr>
        <w:spacing w:before="240" w:after="240" w:line="360" w:lineRule="auto"/>
        <w:rPr>
          <w:lang w:val="en-US"/>
        </w:rPr>
      </w:pPr>
      <w:r>
        <w:rPr>
          <w:lang w:val="en-US"/>
        </w:rPr>
        <w:t>Heinz 2012Y EBITDA</w:t>
      </w:r>
      <w:r w:rsidR="00716B3D">
        <w:rPr>
          <w:lang w:val="en-US"/>
        </w:rPr>
        <w:t xml:space="preserve"> </w:t>
      </w:r>
      <w:r>
        <w:rPr>
          <w:lang w:val="en-US"/>
        </w:rPr>
        <w:t>=</w:t>
      </w:r>
      <w:r w:rsidR="00716B3D">
        <w:rPr>
          <w:lang w:val="en-US"/>
        </w:rPr>
        <w:t xml:space="preserve"> </w:t>
      </w:r>
      <w:r>
        <w:rPr>
          <w:lang w:val="en-US"/>
        </w:rPr>
        <w:t>2 057</w:t>
      </w:r>
    </w:p>
    <w:p w14:paraId="1C15AF29" w14:textId="77777777" w:rsidR="00A471E8" w:rsidRPr="003B35F0" w:rsidRDefault="00A471E8" w:rsidP="00716B3D">
      <w:pPr>
        <w:spacing w:before="240" w:after="240" w:line="360" w:lineRule="auto"/>
        <w:rPr>
          <w:sz w:val="22"/>
          <w:szCs w:val="22"/>
          <w:lang w:val="en-US"/>
        </w:rPr>
      </w:pPr>
      <m:oMathPara>
        <m:oMathParaPr>
          <m:jc m:val="left"/>
        </m:oMathParaPr>
        <m:oMath>
          <m:r>
            <w:rPr>
              <w:rFonts w:ascii="Cambria Math" w:hAnsi="Cambria Math"/>
              <w:sz w:val="22"/>
              <w:szCs w:val="22"/>
              <w:lang w:val="en-US"/>
            </w:rPr>
            <m:t>EV=</m:t>
          </m:r>
          <m:f>
            <m:fPr>
              <m:ctrlPr>
                <w:rPr>
                  <w:rFonts w:ascii="Cambria Math" w:hAnsi="Cambria Math"/>
                  <w:sz w:val="22"/>
                  <w:szCs w:val="22"/>
                  <w:lang w:val="en-US"/>
                </w:rPr>
              </m:ctrlPr>
            </m:fPr>
            <m:num>
              <m:r>
                <m:rPr>
                  <m:sty m:val="p"/>
                </m:rPr>
                <w:rPr>
                  <w:rFonts w:ascii="Cambria Math" w:hAnsi="Cambria Math"/>
                  <w:sz w:val="22"/>
                  <w:szCs w:val="22"/>
                  <w:lang w:val="en-US"/>
                </w:rPr>
                <m:t>EV</m:t>
              </m:r>
            </m:num>
            <m:den>
              <m:sSub>
                <m:sSubPr>
                  <m:ctrlPr>
                    <w:rPr>
                      <w:rFonts w:ascii="Cambria Math" w:hAnsi="Cambria Math"/>
                      <w:sz w:val="22"/>
                      <w:szCs w:val="22"/>
                      <w:lang w:val="en-US"/>
                    </w:rPr>
                  </m:ctrlPr>
                </m:sSubPr>
                <m:e>
                  <m:r>
                    <m:rPr>
                      <m:sty m:val="p"/>
                    </m:rPr>
                    <w:rPr>
                      <w:rFonts w:ascii="Cambria Math" w:hAnsi="Cambria Math"/>
                      <w:sz w:val="22"/>
                      <w:szCs w:val="22"/>
                      <w:lang w:val="en-US"/>
                    </w:rPr>
                    <m:t>LTM</m:t>
                  </m:r>
                </m:e>
                <m:sub>
                  <m:r>
                    <m:rPr>
                      <m:sty m:val="p"/>
                    </m:rPr>
                    <w:rPr>
                      <w:rFonts w:ascii="Cambria Math" w:hAnsi="Cambria Math"/>
                      <w:sz w:val="22"/>
                      <w:szCs w:val="22"/>
                      <w:lang w:val="en-US"/>
                    </w:rPr>
                    <m:t>EBITDA</m:t>
                  </m:r>
                </m:sub>
              </m:sSub>
            </m:den>
          </m:f>
          <m:r>
            <w:rPr>
              <w:rFonts w:ascii="Cambria Math" w:hAnsi="Cambria Math"/>
              <w:sz w:val="22"/>
              <w:szCs w:val="22"/>
              <w:lang w:val="en-US"/>
            </w:rPr>
            <m:t>×EBITDA=10.4×2057=21 393 million USD</m:t>
          </m:r>
        </m:oMath>
      </m:oMathPara>
    </w:p>
    <w:p w14:paraId="06ED88F9" w14:textId="77777777" w:rsidR="00A471E8" w:rsidRPr="003B35F0" w:rsidRDefault="00A471E8" w:rsidP="00716B3D">
      <w:pPr>
        <w:spacing w:after="240" w:line="360" w:lineRule="auto"/>
        <w:rPr>
          <w:sz w:val="22"/>
          <w:szCs w:val="22"/>
          <w:lang w:val="en-US"/>
        </w:rPr>
      </w:pPr>
      <m:oMathPara>
        <m:oMathParaPr>
          <m:jc m:val="left"/>
        </m:oMathParaPr>
        <m:oMath>
          <m:r>
            <w:rPr>
              <w:rFonts w:ascii="Cambria Math" w:hAnsi="Cambria Math"/>
              <w:sz w:val="22"/>
              <w:szCs w:val="22"/>
              <w:lang w:val="en-US"/>
            </w:rPr>
            <m:t>Equity=EV-Net Debt=21 393-3 531=17 862 million USD</m:t>
          </m:r>
        </m:oMath>
      </m:oMathPara>
    </w:p>
    <w:p w14:paraId="61AC5A19" w14:textId="77777777" w:rsidR="00A471E8" w:rsidRPr="003B35F0" w:rsidRDefault="00A471E8" w:rsidP="00716B3D">
      <w:pPr>
        <w:spacing w:after="240" w:line="360" w:lineRule="auto"/>
        <w:rPr>
          <w:sz w:val="22"/>
          <w:szCs w:val="22"/>
          <w:lang w:val="en-US"/>
        </w:rPr>
      </w:pPr>
      <m:oMathPara>
        <m:oMathParaPr>
          <m:jc m:val="left"/>
        </m:oMathParaPr>
        <m:oMath>
          <m:r>
            <w:rPr>
              <w:rFonts w:ascii="Cambria Math" w:hAnsi="Cambria Math"/>
              <w:sz w:val="22"/>
              <w:szCs w:val="22"/>
              <w:lang w:val="en-US"/>
            </w:rPr>
            <m:t>p=</m:t>
          </m:r>
          <m:f>
            <m:fPr>
              <m:ctrlPr>
                <w:rPr>
                  <w:rFonts w:ascii="Cambria Math" w:hAnsi="Cambria Math"/>
                  <w:sz w:val="22"/>
                  <w:szCs w:val="22"/>
                  <w:lang w:val="en-US"/>
                </w:rPr>
              </m:ctrlPr>
            </m:fPr>
            <m:num>
              <m:r>
                <m:rPr>
                  <m:sty m:val="p"/>
                </m:rPr>
                <w:rPr>
                  <w:rFonts w:ascii="Cambria Math" w:hAnsi="Cambria Math"/>
                  <w:sz w:val="22"/>
                  <w:szCs w:val="22"/>
                  <w:lang w:val="en-US"/>
                </w:rPr>
                <m:t>Equity</m:t>
              </m:r>
            </m:num>
            <m:den>
              <m:r>
                <w:rPr>
                  <w:rFonts w:ascii="Cambria Math" w:hAnsi="Cambria Math"/>
                  <w:sz w:val="22"/>
                  <w:szCs w:val="22"/>
                  <w:lang w:val="en-US"/>
                </w:rPr>
                <m:t>avg. common shares outst.</m:t>
              </m:r>
            </m:den>
          </m:f>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17 862</m:t>
              </m:r>
            </m:num>
            <m:den>
              <m:r>
                <w:rPr>
                  <w:rFonts w:ascii="Cambria Math" w:hAnsi="Cambria Math"/>
                  <w:sz w:val="22"/>
                  <w:szCs w:val="22"/>
                  <w:lang w:val="en-US"/>
                </w:rPr>
                <m:t>323.172</m:t>
              </m:r>
            </m:den>
          </m:f>
          <m:r>
            <w:rPr>
              <w:rFonts w:ascii="Cambria Math" w:hAnsi="Cambria Math"/>
              <w:sz w:val="22"/>
              <w:szCs w:val="22"/>
              <w:lang w:val="en-US"/>
            </w:rPr>
            <m:t>=55.27 USD</m:t>
          </m:r>
        </m:oMath>
      </m:oMathPara>
    </w:p>
    <w:p w14:paraId="2C096047" w14:textId="77777777" w:rsidR="00716B3D" w:rsidRPr="00C90C6B" w:rsidRDefault="00716B3D" w:rsidP="00716B3D">
      <w:pPr>
        <w:pStyle w:val="ListParagraph"/>
        <w:numPr>
          <w:ilvl w:val="0"/>
          <w:numId w:val="9"/>
        </w:numPr>
        <w:spacing w:after="240" w:line="360" w:lineRule="auto"/>
        <w:rPr>
          <w:rFonts w:ascii="Times New Roman" w:hAnsi="Times New Roman" w:cs="Times New Roman"/>
          <w:b/>
          <w:bCs/>
          <w:sz w:val="28"/>
          <w:szCs w:val="28"/>
          <w:lang w:val="en-US"/>
        </w:rPr>
      </w:pPr>
      <w:r w:rsidRPr="00C90C6B">
        <w:rPr>
          <w:rFonts w:ascii="Times New Roman" w:hAnsi="Times New Roman" w:cs="Times New Roman"/>
          <w:b/>
          <w:bCs/>
          <w:sz w:val="28"/>
          <w:szCs w:val="28"/>
          <w:lang w:val="en-US"/>
        </w:rPr>
        <w:t>Valuation Summary</w:t>
      </w:r>
      <w:r w:rsidR="00C90C6B" w:rsidRPr="00C90C6B">
        <w:rPr>
          <w:rFonts w:ascii="Times New Roman" w:hAnsi="Times New Roman" w:cs="Times New Roman"/>
          <w:b/>
          <w:bCs/>
          <w:sz w:val="28"/>
          <w:szCs w:val="28"/>
          <w:lang w:val="en-US"/>
        </w:rPr>
        <w:t xml:space="preserve"> (in USD</w:t>
      </w:r>
      <w:r w:rsidR="001F1F30">
        <w:rPr>
          <w:rFonts w:ascii="Times New Roman" w:hAnsi="Times New Roman" w:cs="Times New Roman"/>
          <w:b/>
          <w:bCs/>
          <w:sz w:val="28"/>
          <w:szCs w:val="28"/>
          <w:lang w:val="en-US"/>
        </w:rPr>
        <w:t xml:space="preserve"> per share</w:t>
      </w:r>
      <w:r w:rsidR="00C90C6B" w:rsidRPr="00C90C6B">
        <w:rPr>
          <w:rFonts w:ascii="Times New Roman" w:hAnsi="Times New Roman" w:cs="Times New Roman"/>
          <w:b/>
          <w:bCs/>
          <w:sz w:val="28"/>
          <w:szCs w:val="28"/>
          <w:lang w:val="en-US"/>
        </w:rPr>
        <w:t>)</w:t>
      </w:r>
    </w:p>
    <w:tbl>
      <w:tblPr>
        <w:tblW w:w="9623" w:type="dxa"/>
        <w:tblLook w:val="04A0" w:firstRow="1" w:lastRow="0" w:firstColumn="1" w:lastColumn="0" w:noHBand="0" w:noVBand="1"/>
      </w:tblPr>
      <w:tblGrid>
        <w:gridCol w:w="759"/>
        <w:gridCol w:w="1455"/>
        <w:gridCol w:w="961"/>
        <w:gridCol w:w="759"/>
        <w:gridCol w:w="983"/>
        <w:gridCol w:w="764"/>
        <w:gridCol w:w="1922"/>
        <w:gridCol w:w="1010"/>
        <w:gridCol w:w="1010"/>
      </w:tblGrid>
      <w:tr w:rsidR="004B0FA2" w:rsidRPr="004B0FA2" w14:paraId="25A4F147" w14:textId="77777777" w:rsidTr="004B0FA2">
        <w:trPr>
          <w:trHeight w:val="320"/>
        </w:trPr>
        <w:tc>
          <w:tcPr>
            <w:tcW w:w="5681"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BF4C8B" w14:textId="77777777" w:rsidR="004B0FA2" w:rsidRPr="004B0FA2" w:rsidRDefault="004B0FA2" w:rsidP="004B0FA2">
            <w:pPr>
              <w:jc w:val="center"/>
              <w:rPr>
                <w:color w:val="000000"/>
                <w:sz w:val="21"/>
                <w:szCs w:val="21"/>
              </w:rPr>
            </w:pPr>
            <w:r w:rsidRPr="004B0FA2">
              <w:rPr>
                <w:color w:val="000000"/>
                <w:sz w:val="21"/>
                <w:szCs w:val="21"/>
              </w:rPr>
              <w:t>Relative</w:t>
            </w:r>
          </w:p>
        </w:tc>
        <w:tc>
          <w:tcPr>
            <w:tcW w:w="192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BE87F03" w14:textId="77777777" w:rsidR="004B0FA2" w:rsidRPr="004B0FA2" w:rsidRDefault="004B0FA2" w:rsidP="004B0FA2">
            <w:pPr>
              <w:jc w:val="center"/>
              <w:rPr>
                <w:color w:val="000000"/>
                <w:sz w:val="21"/>
                <w:szCs w:val="21"/>
              </w:rPr>
            </w:pPr>
            <w:r w:rsidRPr="004B0FA2">
              <w:rPr>
                <w:color w:val="000000"/>
                <w:sz w:val="21"/>
                <w:szCs w:val="21"/>
              </w:rPr>
              <w:t>PT</w:t>
            </w:r>
          </w:p>
        </w:tc>
        <w:tc>
          <w:tcPr>
            <w:tcW w:w="2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15D5C25" w14:textId="77777777" w:rsidR="004B0FA2" w:rsidRPr="004B0FA2" w:rsidRDefault="004B0FA2" w:rsidP="004B0FA2">
            <w:pPr>
              <w:jc w:val="center"/>
              <w:rPr>
                <w:color w:val="000000"/>
                <w:sz w:val="21"/>
                <w:szCs w:val="21"/>
              </w:rPr>
            </w:pPr>
            <w:r w:rsidRPr="004B0FA2">
              <w:rPr>
                <w:color w:val="000000"/>
                <w:sz w:val="21"/>
                <w:szCs w:val="21"/>
              </w:rPr>
              <w:t>DCF</w:t>
            </w:r>
          </w:p>
        </w:tc>
      </w:tr>
      <w:tr w:rsidR="004B0FA2" w:rsidRPr="004B0FA2" w14:paraId="250187F1" w14:textId="77777777" w:rsidTr="004B0FA2">
        <w:trPr>
          <w:trHeight w:val="320"/>
        </w:trPr>
        <w:tc>
          <w:tcPr>
            <w:tcW w:w="759" w:type="dxa"/>
            <w:tcBorders>
              <w:top w:val="nil"/>
              <w:left w:val="single" w:sz="4" w:space="0" w:color="auto"/>
              <w:bottom w:val="single" w:sz="4" w:space="0" w:color="auto"/>
              <w:right w:val="single" w:sz="4" w:space="0" w:color="auto"/>
            </w:tcBorders>
            <w:shd w:val="clear" w:color="auto" w:fill="auto"/>
            <w:noWrap/>
            <w:vAlign w:val="center"/>
            <w:hideMark/>
          </w:tcPr>
          <w:p w14:paraId="43C8F1C2" w14:textId="77777777" w:rsidR="004B0FA2" w:rsidRPr="004B0FA2" w:rsidRDefault="004B0FA2" w:rsidP="004B0FA2">
            <w:pPr>
              <w:jc w:val="center"/>
              <w:rPr>
                <w:color w:val="000000"/>
                <w:sz w:val="21"/>
                <w:szCs w:val="21"/>
              </w:rPr>
            </w:pPr>
            <w:r w:rsidRPr="004B0FA2">
              <w:rPr>
                <w:color w:val="000000"/>
                <w:sz w:val="21"/>
                <w:szCs w:val="21"/>
              </w:rPr>
              <w:t>P/E</w:t>
            </w:r>
          </w:p>
        </w:tc>
        <w:tc>
          <w:tcPr>
            <w:tcW w:w="1455" w:type="dxa"/>
            <w:tcBorders>
              <w:top w:val="nil"/>
              <w:left w:val="nil"/>
              <w:bottom w:val="single" w:sz="4" w:space="0" w:color="auto"/>
              <w:right w:val="single" w:sz="4" w:space="0" w:color="auto"/>
            </w:tcBorders>
            <w:shd w:val="clear" w:color="auto" w:fill="auto"/>
            <w:noWrap/>
            <w:vAlign w:val="center"/>
            <w:hideMark/>
          </w:tcPr>
          <w:p w14:paraId="0EEF6577" w14:textId="77777777" w:rsidR="004B0FA2" w:rsidRPr="004B0FA2" w:rsidRDefault="004B0FA2" w:rsidP="004B0FA2">
            <w:pPr>
              <w:jc w:val="center"/>
              <w:rPr>
                <w:color w:val="000000"/>
                <w:sz w:val="21"/>
                <w:szCs w:val="21"/>
              </w:rPr>
            </w:pPr>
            <w:r w:rsidRPr="004B0FA2">
              <w:rPr>
                <w:color w:val="000000"/>
                <w:sz w:val="21"/>
                <w:szCs w:val="21"/>
              </w:rPr>
              <w:t>EV/EBITDA</w:t>
            </w:r>
          </w:p>
        </w:tc>
        <w:tc>
          <w:tcPr>
            <w:tcW w:w="961" w:type="dxa"/>
            <w:tcBorders>
              <w:top w:val="nil"/>
              <w:left w:val="nil"/>
              <w:bottom w:val="single" w:sz="4" w:space="0" w:color="auto"/>
              <w:right w:val="single" w:sz="4" w:space="0" w:color="auto"/>
            </w:tcBorders>
            <w:shd w:val="clear" w:color="auto" w:fill="auto"/>
            <w:noWrap/>
            <w:vAlign w:val="center"/>
            <w:hideMark/>
          </w:tcPr>
          <w:p w14:paraId="11142C5F" w14:textId="77777777" w:rsidR="004B0FA2" w:rsidRPr="004B0FA2" w:rsidRDefault="004B0FA2" w:rsidP="004B0FA2">
            <w:pPr>
              <w:jc w:val="center"/>
              <w:rPr>
                <w:color w:val="000000"/>
                <w:sz w:val="21"/>
                <w:szCs w:val="21"/>
              </w:rPr>
            </w:pPr>
            <w:r w:rsidRPr="004B0FA2">
              <w:rPr>
                <w:color w:val="000000"/>
                <w:sz w:val="21"/>
                <w:szCs w:val="21"/>
              </w:rPr>
              <w:t>EV/FCF</w:t>
            </w:r>
          </w:p>
        </w:tc>
        <w:tc>
          <w:tcPr>
            <w:tcW w:w="759" w:type="dxa"/>
            <w:tcBorders>
              <w:top w:val="nil"/>
              <w:left w:val="nil"/>
              <w:bottom w:val="single" w:sz="4" w:space="0" w:color="auto"/>
              <w:right w:val="single" w:sz="4" w:space="0" w:color="auto"/>
            </w:tcBorders>
            <w:shd w:val="clear" w:color="auto" w:fill="auto"/>
            <w:noWrap/>
            <w:vAlign w:val="center"/>
            <w:hideMark/>
          </w:tcPr>
          <w:p w14:paraId="4DF6FD72" w14:textId="77777777" w:rsidR="004B0FA2" w:rsidRPr="004B0FA2" w:rsidRDefault="004B0FA2" w:rsidP="004B0FA2">
            <w:pPr>
              <w:jc w:val="center"/>
              <w:rPr>
                <w:color w:val="000000"/>
                <w:sz w:val="21"/>
                <w:szCs w:val="21"/>
              </w:rPr>
            </w:pPr>
            <w:r w:rsidRPr="004B0FA2">
              <w:rPr>
                <w:color w:val="000000"/>
                <w:sz w:val="21"/>
                <w:szCs w:val="21"/>
              </w:rPr>
              <w:t>P/B</w:t>
            </w:r>
          </w:p>
        </w:tc>
        <w:tc>
          <w:tcPr>
            <w:tcW w:w="983" w:type="dxa"/>
            <w:tcBorders>
              <w:top w:val="nil"/>
              <w:left w:val="nil"/>
              <w:bottom w:val="single" w:sz="4" w:space="0" w:color="auto"/>
              <w:right w:val="single" w:sz="4" w:space="0" w:color="auto"/>
            </w:tcBorders>
            <w:shd w:val="clear" w:color="auto" w:fill="auto"/>
            <w:noWrap/>
            <w:vAlign w:val="center"/>
            <w:hideMark/>
          </w:tcPr>
          <w:p w14:paraId="1765DC74" w14:textId="77777777" w:rsidR="004B0FA2" w:rsidRPr="004B0FA2" w:rsidRDefault="004B0FA2" w:rsidP="004B0FA2">
            <w:pPr>
              <w:jc w:val="center"/>
              <w:rPr>
                <w:color w:val="000000"/>
                <w:sz w:val="21"/>
                <w:szCs w:val="21"/>
              </w:rPr>
            </w:pPr>
            <w:r w:rsidRPr="004B0FA2">
              <w:rPr>
                <w:color w:val="000000"/>
                <w:sz w:val="21"/>
                <w:szCs w:val="21"/>
              </w:rPr>
              <w:t>P/Sales</w:t>
            </w:r>
          </w:p>
        </w:tc>
        <w:tc>
          <w:tcPr>
            <w:tcW w:w="761" w:type="dxa"/>
            <w:tcBorders>
              <w:top w:val="nil"/>
              <w:left w:val="nil"/>
              <w:bottom w:val="single" w:sz="4" w:space="0" w:color="auto"/>
              <w:right w:val="single" w:sz="4" w:space="0" w:color="auto"/>
            </w:tcBorders>
            <w:shd w:val="clear" w:color="auto" w:fill="auto"/>
            <w:noWrap/>
            <w:vAlign w:val="center"/>
            <w:hideMark/>
          </w:tcPr>
          <w:p w14:paraId="39C7000B" w14:textId="77777777" w:rsidR="004B0FA2" w:rsidRPr="004B0FA2" w:rsidRDefault="004B0FA2" w:rsidP="004B0FA2">
            <w:pPr>
              <w:jc w:val="center"/>
              <w:rPr>
                <w:color w:val="000000"/>
                <w:sz w:val="21"/>
                <w:szCs w:val="21"/>
              </w:rPr>
            </w:pPr>
            <w:r w:rsidRPr="004B0FA2">
              <w:rPr>
                <w:color w:val="000000"/>
                <w:sz w:val="21"/>
                <w:szCs w:val="21"/>
              </w:rPr>
              <w:t>PEG</w:t>
            </w:r>
          </w:p>
        </w:tc>
        <w:tc>
          <w:tcPr>
            <w:tcW w:w="1922" w:type="dxa"/>
            <w:vMerge/>
            <w:tcBorders>
              <w:top w:val="single" w:sz="4" w:space="0" w:color="auto"/>
              <w:left w:val="single" w:sz="4" w:space="0" w:color="auto"/>
              <w:bottom w:val="single" w:sz="4" w:space="0" w:color="000000"/>
              <w:right w:val="single" w:sz="4" w:space="0" w:color="auto"/>
            </w:tcBorders>
            <w:vAlign w:val="center"/>
            <w:hideMark/>
          </w:tcPr>
          <w:p w14:paraId="22597ECA" w14:textId="77777777" w:rsidR="004B0FA2" w:rsidRPr="004B0FA2" w:rsidRDefault="004B0FA2" w:rsidP="004B0FA2">
            <w:pPr>
              <w:jc w:val="center"/>
              <w:rPr>
                <w:color w:val="000000"/>
                <w:sz w:val="21"/>
                <w:szCs w:val="21"/>
              </w:rPr>
            </w:pPr>
          </w:p>
        </w:tc>
        <w:tc>
          <w:tcPr>
            <w:tcW w:w="1010" w:type="dxa"/>
            <w:tcBorders>
              <w:top w:val="nil"/>
              <w:left w:val="nil"/>
              <w:bottom w:val="single" w:sz="4" w:space="0" w:color="auto"/>
              <w:right w:val="single" w:sz="4" w:space="0" w:color="auto"/>
            </w:tcBorders>
            <w:shd w:val="clear" w:color="auto" w:fill="auto"/>
            <w:noWrap/>
            <w:vAlign w:val="center"/>
            <w:hideMark/>
          </w:tcPr>
          <w:p w14:paraId="5E61C839" w14:textId="77777777" w:rsidR="004B0FA2" w:rsidRPr="004B0FA2" w:rsidRDefault="004B0FA2" w:rsidP="004B0FA2">
            <w:pPr>
              <w:jc w:val="center"/>
              <w:rPr>
                <w:color w:val="000000"/>
                <w:sz w:val="21"/>
                <w:szCs w:val="21"/>
              </w:rPr>
            </w:pPr>
            <w:r w:rsidRPr="004B0FA2">
              <w:rPr>
                <w:color w:val="000000"/>
                <w:sz w:val="21"/>
                <w:szCs w:val="21"/>
              </w:rPr>
              <w:t>PG</w:t>
            </w:r>
          </w:p>
        </w:tc>
        <w:tc>
          <w:tcPr>
            <w:tcW w:w="1010" w:type="dxa"/>
            <w:tcBorders>
              <w:top w:val="nil"/>
              <w:left w:val="nil"/>
              <w:bottom w:val="single" w:sz="4" w:space="0" w:color="auto"/>
              <w:right w:val="single" w:sz="4" w:space="0" w:color="auto"/>
            </w:tcBorders>
            <w:shd w:val="clear" w:color="auto" w:fill="auto"/>
            <w:noWrap/>
            <w:vAlign w:val="center"/>
            <w:hideMark/>
          </w:tcPr>
          <w:p w14:paraId="684B1F6D" w14:textId="77777777" w:rsidR="004B0FA2" w:rsidRPr="004B0FA2" w:rsidRDefault="004B0FA2" w:rsidP="004B0FA2">
            <w:pPr>
              <w:jc w:val="center"/>
              <w:rPr>
                <w:color w:val="000000"/>
                <w:sz w:val="21"/>
                <w:szCs w:val="21"/>
              </w:rPr>
            </w:pPr>
            <w:r w:rsidRPr="004B0FA2">
              <w:rPr>
                <w:color w:val="000000"/>
                <w:sz w:val="21"/>
                <w:szCs w:val="21"/>
              </w:rPr>
              <w:t>EM</w:t>
            </w:r>
          </w:p>
        </w:tc>
      </w:tr>
      <w:tr w:rsidR="004B0FA2" w:rsidRPr="004B0FA2" w14:paraId="6FB8E4D9" w14:textId="77777777" w:rsidTr="004B0FA2">
        <w:trPr>
          <w:trHeight w:val="320"/>
        </w:trPr>
        <w:tc>
          <w:tcPr>
            <w:tcW w:w="759" w:type="dxa"/>
            <w:tcBorders>
              <w:top w:val="nil"/>
              <w:left w:val="single" w:sz="4" w:space="0" w:color="auto"/>
              <w:bottom w:val="single" w:sz="4" w:space="0" w:color="auto"/>
              <w:right w:val="single" w:sz="4" w:space="0" w:color="auto"/>
            </w:tcBorders>
            <w:shd w:val="clear" w:color="auto" w:fill="auto"/>
            <w:noWrap/>
            <w:vAlign w:val="center"/>
            <w:hideMark/>
          </w:tcPr>
          <w:p w14:paraId="46C8FF3E" w14:textId="77777777" w:rsidR="004B0FA2" w:rsidRPr="004B0FA2" w:rsidRDefault="004B0FA2" w:rsidP="004B0FA2">
            <w:pPr>
              <w:jc w:val="center"/>
              <w:rPr>
                <w:color w:val="000000"/>
                <w:sz w:val="21"/>
                <w:szCs w:val="21"/>
              </w:rPr>
            </w:pPr>
            <w:r w:rsidRPr="004B0FA2">
              <w:rPr>
                <w:color w:val="000000"/>
                <w:sz w:val="21"/>
                <w:szCs w:val="21"/>
              </w:rPr>
              <w:t>47</w:t>
            </w:r>
            <w:r>
              <w:rPr>
                <w:color w:val="000000"/>
                <w:sz w:val="21"/>
                <w:szCs w:val="21"/>
                <w:lang w:val="en-US"/>
              </w:rPr>
              <w:t>.</w:t>
            </w:r>
            <w:r w:rsidRPr="004B0FA2">
              <w:rPr>
                <w:color w:val="000000"/>
                <w:sz w:val="21"/>
                <w:szCs w:val="21"/>
              </w:rPr>
              <w:t>33</w:t>
            </w:r>
          </w:p>
        </w:tc>
        <w:tc>
          <w:tcPr>
            <w:tcW w:w="1455" w:type="dxa"/>
            <w:tcBorders>
              <w:top w:val="nil"/>
              <w:left w:val="nil"/>
              <w:bottom w:val="single" w:sz="4" w:space="0" w:color="auto"/>
              <w:right w:val="single" w:sz="4" w:space="0" w:color="auto"/>
            </w:tcBorders>
            <w:shd w:val="clear" w:color="auto" w:fill="auto"/>
            <w:noWrap/>
            <w:vAlign w:val="center"/>
            <w:hideMark/>
          </w:tcPr>
          <w:p w14:paraId="27F4CD6F" w14:textId="77777777" w:rsidR="004B0FA2" w:rsidRPr="004B0FA2" w:rsidRDefault="004B0FA2" w:rsidP="004B0FA2">
            <w:pPr>
              <w:jc w:val="center"/>
              <w:rPr>
                <w:color w:val="000000"/>
                <w:sz w:val="21"/>
                <w:szCs w:val="21"/>
              </w:rPr>
            </w:pPr>
            <w:r w:rsidRPr="004B0FA2">
              <w:rPr>
                <w:color w:val="000000"/>
                <w:sz w:val="21"/>
                <w:szCs w:val="21"/>
              </w:rPr>
              <w:t>53</w:t>
            </w:r>
            <w:r>
              <w:rPr>
                <w:color w:val="000000"/>
                <w:sz w:val="21"/>
                <w:szCs w:val="21"/>
                <w:lang w:val="en-US"/>
              </w:rPr>
              <w:t>.</w:t>
            </w:r>
            <w:r w:rsidRPr="004B0FA2">
              <w:rPr>
                <w:color w:val="000000"/>
                <w:sz w:val="21"/>
                <w:szCs w:val="21"/>
              </w:rPr>
              <w:t>36</w:t>
            </w:r>
          </w:p>
        </w:tc>
        <w:tc>
          <w:tcPr>
            <w:tcW w:w="961" w:type="dxa"/>
            <w:tcBorders>
              <w:top w:val="nil"/>
              <w:left w:val="nil"/>
              <w:bottom w:val="single" w:sz="4" w:space="0" w:color="auto"/>
              <w:right w:val="single" w:sz="4" w:space="0" w:color="auto"/>
            </w:tcBorders>
            <w:shd w:val="clear" w:color="auto" w:fill="auto"/>
            <w:noWrap/>
            <w:vAlign w:val="center"/>
            <w:hideMark/>
          </w:tcPr>
          <w:p w14:paraId="7579E1FB" w14:textId="77777777" w:rsidR="004B0FA2" w:rsidRPr="004B0FA2" w:rsidRDefault="004B0FA2" w:rsidP="004B0FA2">
            <w:pPr>
              <w:jc w:val="center"/>
              <w:rPr>
                <w:color w:val="000000"/>
                <w:sz w:val="21"/>
                <w:szCs w:val="21"/>
              </w:rPr>
            </w:pPr>
            <w:r w:rsidRPr="004B0FA2">
              <w:rPr>
                <w:color w:val="000000"/>
                <w:sz w:val="21"/>
                <w:szCs w:val="21"/>
              </w:rPr>
              <w:t>91</w:t>
            </w:r>
            <w:r>
              <w:rPr>
                <w:color w:val="000000"/>
                <w:sz w:val="21"/>
                <w:szCs w:val="21"/>
                <w:lang w:val="en-US"/>
              </w:rPr>
              <w:t>.</w:t>
            </w:r>
            <w:r w:rsidRPr="004B0FA2">
              <w:rPr>
                <w:color w:val="000000"/>
                <w:sz w:val="21"/>
                <w:szCs w:val="21"/>
              </w:rPr>
              <w:t>40</w:t>
            </w:r>
          </w:p>
        </w:tc>
        <w:tc>
          <w:tcPr>
            <w:tcW w:w="759" w:type="dxa"/>
            <w:tcBorders>
              <w:top w:val="nil"/>
              <w:left w:val="nil"/>
              <w:bottom w:val="single" w:sz="4" w:space="0" w:color="auto"/>
              <w:right w:val="single" w:sz="4" w:space="0" w:color="auto"/>
            </w:tcBorders>
            <w:shd w:val="clear" w:color="auto" w:fill="auto"/>
            <w:noWrap/>
            <w:vAlign w:val="center"/>
            <w:hideMark/>
          </w:tcPr>
          <w:p w14:paraId="5FDF3F09" w14:textId="77777777" w:rsidR="004B0FA2" w:rsidRPr="004B0FA2" w:rsidRDefault="004B0FA2" w:rsidP="004B0FA2">
            <w:pPr>
              <w:jc w:val="center"/>
              <w:rPr>
                <w:color w:val="000000"/>
                <w:sz w:val="21"/>
                <w:szCs w:val="21"/>
              </w:rPr>
            </w:pPr>
            <w:r w:rsidRPr="004B0FA2">
              <w:rPr>
                <w:color w:val="000000"/>
                <w:sz w:val="21"/>
                <w:szCs w:val="21"/>
              </w:rPr>
              <w:t>37</w:t>
            </w:r>
            <w:r>
              <w:rPr>
                <w:color w:val="000000"/>
                <w:sz w:val="21"/>
                <w:szCs w:val="21"/>
              </w:rPr>
              <w:t>.</w:t>
            </w:r>
            <w:r w:rsidRPr="004B0FA2">
              <w:rPr>
                <w:color w:val="000000"/>
                <w:sz w:val="21"/>
                <w:szCs w:val="21"/>
              </w:rPr>
              <w:t>91</w:t>
            </w:r>
          </w:p>
        </w:tc>
        <w:tc>
          <w:tcPr>
            <w:tcW w:w="983" w:type="dxa"/>
            <w:tcBorders>
              <w:top w:val="nil"/>
              <w:left w:val="nil"/>
              <w:bottom w:val="single" w:sz="4" w:space="0" w:color="auto"/>
              <w:right w:val="single" w:sz="4" w:space="0" w:color="auto"/>
            </w:tcBorders>
            <w:shd w:val="clear" w:color="auto" w:fill="auto"/>
            <w:noWrap/>
            <w:vAlign w:val="center"/>
            <w:hideMark/>
          </w:tcPr>
          <w:p w14:paraId="128228FE" w14:textId="77777777" w:rsidR="004B0FA2" w:rsidRPr="004B0FA2" w:rsidRDefault="004B0FA2" w:rsidP="004B0FA2">
            <w:pPr>
              <w:jc w:val="center"/>
              <w:rPr>
                <w:color w:val="000000"/>
                <w:sz w:val="21"/>
                <w:szCs w:val="21"/>
              </w:rPr>
            </w:pPr>
            <w:r w:rsidRPr="004B0FA2">
              <w:rPr>
                <w:color w:val="000000"/>
                <w:sz w:val="21"/>
                <w:szCs w:val="21"/>
              </w:rPr>
              <w:t>54</w:t>
            </w:r>
            <w:r>
              <w:rPr>
                <w:color w:val="000000"/>
                <w:sz w:val="21"/>
                <w:szCs w:val="21"/>
                <w:lang w:val="en-US"/>
              </w:rPr>
              <w:t>.</w:t>
            </w:r>
            <w:r w:rsidRPr="004B0FA2">
              <w:rPr>
                <w:color w:val="000000"/>
                <w:sz w:val="21"/>
                <w:szCs w:val="21"/>
              </w:rPr>
              <w:t>19</w:t>
            </w:r>
          </w:p>
        </w:tc>
        <w:tc>
          <w:tcPr>
            <w:tcW w:w="761" w:type="dxa"/>
            <w:tcBorders>
              <w:top w:val="nil"/>
              <w:left w:val="nil"/>
              <w:bottom w:val="single" w:sz="4" w:space="0" w:color="auto"/>
              <w:right w:val="single" w:sz="4" w:space="0" w:color="auto"/>
            </w:tcBorders>
            <w:shd w:val="clear" w:color="auto" w:fill="auto"/>
            <w:noWrap/>
            <w:vAlign w:val="center"/>
            <w:hideMark/>
          </w:tcPr>
          <w:p w14:paraId="266B6141" w14:textId="77777777" w:rsidR="004B0FA2" w:rsidRPr="004B0FA2" w:rsidRDefault="004B0FA2" w:rsidP="004B0FA2">
            <w:pPr>
              <w:jc w:val="center"/>
              <w:rPr>
                <w:color w:val="000000"/>
                <w:sz w:val="21"/>
                <w:szCs w:val="21"/>
              </w:rPr>
            </w:pPr>
            <w:r w:rsidRPr="004B0FA2">
              <w:rPr>
                <w:color w:val="000000"/>
                <w:sz w:val="21"/>
                <w:szCs w:val="21"/>
              </w:rPr>
              <w:t>53</w:t>
            </w:r>
            <w:r>
              <w:rPr>
                <w:color w:val="000000"/>
                <w:sz w:val="21"/>
                <w:szCs w:val="21"/>
                <w:lang w:val="en-US"/>
              </w:rPr>
              <w:t>.</w:t>
            </w:r>
            <w:r w:rsidRPr="004B0FA2">
              <w:rPr>
                <w:color w:val="000000"/>
                <w:sz w:val="21"/>
                <w:szCs w:val="21"/>
              </w:rPr>
              <w:t>91</w:t>
            </w:r>
          </w:p>
        </w:tc>
        <w:tc>
          <w:tcPr>
            <w:tcW w:w="1922" w:type="dxa"/>
            <w:tcBorders>
              <w:top w:val="nil"/>
              <w:left w:val="nil"/>
              <w:bottom w:val="single" w:sz="4" w:space="0" w:color="auto"/>
              <w:right w:val="single" w:sz="4" w:space="0" w:color="auto"/>
            </w:tcBorders>
            <w:shd w:val="clear" w:color="auto" w:fill="auto"/>
            <w:noWrap/>
            <w:vAlign w:val="center"/>
            <w:hideMark/>
          </w:tcPr>
          <w:p w14:paraId="007ED14F" w14:textId="77777777" w:rsidR="004B0FA2" w:rsidRPr="004B0FA2" w:rsidRDefault="004B0FA2" w:rsidP="004B0FA2">
            <w:pPr>
              <w:jc w:val="center"/>
              <w:rPr>
                <w:color w:val="000000"/>
                <w:sz w:val="21"/>
                <w:szCs w:val="21"/>
              </w:rPr>
            </w:pPr>
            <w:r w:rsidRPr="004B0FA2">
              <w:rPr>
                <w:color w:val="000000"/>
                <w:sz w:val="21"/>
                <w:szCs w:val="21"/>
              </w:rPr>
              <w:t>55</w:t>
            </w:r>
            <w:r>
              <w:rPr>
                <w:color w:val="000000"/>
                <w:sz w:val="21"/>
                <w:szCs w:val="21"/>
                <w:lang w:val="en-US"/>
              </w:rPr>
              <w:t>.</w:t>
            </w:r>
            <w:r w:rsidRPr="004B0FA2">
              <w:rPr>
                <w:color w:val="000000"/>
                <w:sz w:val="21"/>
                <w:szCs w:val="21"/>
              </w:rPr>
              <w:t>27</w:t>
            </w:r>
          </w:p>
        </w:tc>
        <w:tc>
          <w:tcPr>
            <w:tcW w:w="1010" w:type="dxa"/>
            <w:tcBorders>
              <w:top w:val="nil"/>
              <w:left w:val="nil"/>
              <w:bottom w:val="single" w:sz="4" w:space="0" w:color="auto"/>
              <w:right w:val="single" w:sz="4" w:space="0" w:color="auto"/>
            </w:tcBorders>
            <w:shd w:val="clear" w:color="auto" w:fill="auto"/>
            <w:noWrap/>
            <w:vAlign w:val="center"/>
            <w:hideMark/>
          </w:tcPr>
          <w:p w14:paraId="1C307D3F" w14:textId="77777777" w:rsidR="004B0FA2" w:rsidRPr="004B0FA2" w:rsidRDefault="004B0FA2" w:rsidP="004B0FA2">
            <w:pPr>
              <w:jc w:val="center"/>
              <w:rPr>
                <w:color w:val="000000"/>
                <w:sz w:val="21"/>
                <w:szCs w:val="21"/>
                <w:lang w:val="en-US"/>
              </w:rPr>
            </w:pPr>
            <w:r w:rsidRPr="004B0FA2">
              <w:rPr>
                <w:color w:val="000000"/>
                <w:sz w:val="21"/>
                <w:szCs w:val="21"/>
              </w:rPr>
              <w:t>121</w:t>
            </w:r>
            <w:r>
              <w:rPr>
                <w:color w:val="000000"/>
                <w:sz w:val="21"/>
                <w:szCs w:val="21"/>
                <w:lang w:val="en-US"/>
              </w:rPr>
              <w:t>.</w:t>
            </w:r>
            <w:r w:rsidRPr="004B0FA2">
              <w:rPr>
                <w:color w:val="000000"/>
                <w:sz w:val="21"/>
                <w:szCs w:val="21"/>
              </w:rPr>
              <w:t>3</w:t>
            </w:r>
            <w:r>
              <w:rPr>
                <w:color w:val="000000"/>
                <w:sz w:val="21"/>
                <w:szCs w:val="21"/>
                <w:lang w:val="en-US"/>
              </w:rPr>
              <w:t>6</w:t>
            </w:r>
          </w:p>
        </w:tc>
        <w:tc>
          <w:tcPr>
            <w:tcW w:w="1010" w:type="dxa"/>
            <w:tcBorders>
              <w:top w:val="nil"/>
              <w:left w:val="nil"/>
              <w:bottom w:val="single" w:sz="4" w:space="0" w:color="auto"/>
              <w:right w:val="single" w:sz="4" w:space="0" w:color="auto"/>
            </w:tcBorders>
            <w:shd w:val="clear" w:color="auto" w:fill="auto"/>
            <w:noWrap/>
            <w:vAlign w:val="center"/>
            <w:hideMark/>
          </w:tcPr>
          <w:p w14:paraId="0B41A08C" w14:textId="77777777" w:rsidR="004B0FA2" w:rsidRPr="003B35F0" w:rsidRDefault="003B35F0" w:rsidP="004B0FA2">
            <w:pPr>
              <w:jc w:val="center"/>
              <w:rPr>
                <w:color w:val="000000"/>
                <w:sz w:val="21"/>
                <w:szCs w:val="21"/>
              </w:rPr>
            </w:pPr>
            <w:r>
              <w:rPr>
                <w:color w:val="000000"/>
                <w:sz w:val="21"/>
                <w:szCs w:val="21"/>
                <w:lang w:val="en-US"/>
              </w:rPr>
              <w:t>82</w:t>
            </w:r>
            <w:r w:rsidR="004B0FA2">
              <w:rPr>
                <w:color w:val="000000"/>
                <w:sz w:val="21"/>
                <w:szCs w:val="21"/>
                <w:lang w:val="en-US"/>
              </w:rPr>
              <w:t>.</w:t>
            </w:r>
            <w:r>
              <w:rPr>
                <w:color w:val="000000"/>
                <w:sz w:val="21"/>
                <w:szCs w:val="21"/>
                <w:lang w:val="en-US"/>
              </w:rPr>
              <w:t>37</w:t>
            </w:r>
          </w:p>
        </w:tc>
      </w:tr>
    </w:tbl>
    <w:p w14:paraId="2330540E" w14:textId="6AE1929B" w:rsidR="000F5678" w:rsidRPr="00EE7D40" w:rsidRDefault="000F5678" w:rsidP="000F5678">
      <w:pPr>
        <w:spacing w:before="240" w:after="240" w:line="360" w:lineRule="auto"/>
        <w:ind w:firstLine="720"/>
        <w:jc w:val="both"/>
        <w:rPr>
          <w:lang w:val="en-US"/>
        </w:rPr>
      </w:pPr>
      <w:r>
        <w:rPr>
          <w:lang w:val="en-US"/>
        </w:rPr>
        <w:t>From the box-plot below we can see the median value among our valuation results that equals 68.</w:t>
      </w:r>
      <w:r w:rsidR="002B55AC">
        <w:rPr>
          <w:lang w:val="en-US"/>
        </w:rPr>
        <w:t>34</w:t>
      </w:r>
      <w:r>
        <w:rPr>
          <w:lang w:val="en-US"/>
        </w:rPr>
        <w:t xml:space="preserve"> USD. </w:t>
      </w:r>
      <w:r w:rsidR="00EE7D40">
        <w:rPr>
          <w:lang w:val="en-US"/>
        </w:rPr>
        <w:t>Fair deal price is estimated to be between 50.35 USD and 86.88 USD per share</w:t>
      </w:r>
      <w:r w:rsidR="006A3E59">
        <w:rPr>
          <w:lang w:val="en-US"/>
        </w:rPr>
        <w:t>. More specifically, it is around median value or slightly higher (70 USD per share), closer to the DCF valuation prices that we consider more reliable than the other ones.</w:t>
      </w:r>
    </w:p>
    <w:p w14:paraId="101558A8" w14:textId="77777777" w:rsidR="00C90C6B" w:rsidRDefault="006A1887" w:rsidP="00716B3D">
      <w:pPr>
        <w:spacing w:after="240" w:line="360" w:lineRule="auto"/>
        <w:rPr>
          <w:lang w:val="en-US"/>
        </w:rPr>
      </w:pPr>
      <w:r>
        <w:rPr>
          <w:noProof/>
          <w14:ligatures w14:val="standardContextual"/>
        </w:rPr>
        <mc:AlternateContent>
          <mc:Choice Requires="cx1">
            <w:drawing>
              <wp:inline distT="0" distB="0" distL="0" distR="0" wp14:anchorId="5FABE4CA" wp14:editId="77364ACA">
                <wp:extent cx="6118225" cy="3219855"/>
                <wp:effectExtent l="0" t="0" r="3175" b="6350"/>
                <wp:docPr id="1800650539" name="Диаграмма 1">
                  <a:extLst xmlns:a="http://schemas.openxmlformats.org/drawingml/2006/main">
                    <a:ext uri="{FF2B5EF4-FFF2-40B4-BE49-F238E27FC236}">
                      <a16:creationId xmlns:a16="http://schemas.microsoft.com/office/drawing/2014/main" id="{9A7CF4BC-4A77-F0EF-4156-F062148BD0D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xmlns:oel="http://schemas.microsoft.com/office/2019/extlst">
            <w:drawing>
              <wp:inline distT="0" distB="0" distL="0" distR="0" wp14:anchorId="5FABE4CA" wp14:editId="77364ACA">
                <wp:extent cx="6118225" cy="3219855"/>
                <wp:effectExtent l="0" t="0" r="3175" b="6350"/>
                <wp:docPr id="1800650539" name="Диаграмма 1">
                  <a:extLst xmlns:a="http://schemas.openxmlformats.org/drawingml/2006/main">
                    <a:ext uri="{FF2B5EF4-FFF2-40B4-BE49-F238E27FC236}">
                      <a16:creationId xmlns:a16="http://schemas.microsoft.com/office/drawing/2014/main" id="{9A7CF4BC-4A77-F0EF-4156-F062148BD0D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00650539" name="Диаграмма 1">
                          <a:extLst>
                            <a:ext uri="{FF2B5EF4-FFF2-40B4-BE49-F238E27FC236}">
                              <a16:creationId xmlns:a16="http://schemas.microsoft.com/office/drawing/2014/main" id="{9A7CF4BC-4A77-F0EF-4156-F062148BD0D7}"/>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6118225" cy="3219450"/>
                        </a:xfrm>
                        <a:prstGeom prst="rect">
                          <a:avLst/>
                        </a:prstGeom>
                      </pic:spPr>
                    </pic:pic>
                  </a:graphicData>
                </a:graphic>
              </wp:inline>
            </w:drawing>
          </mc:Fallback>
        </mc:AlternateContent>
      </w:r>
    </w:p>
    <w:p w14:paraId="1DF6E805" w14:textId="77777777" w:rsidR="00024EE9" w:rsidRDefault="004B0FA2" w:rsidP="00716B3D">
      <w:pPr>
        <w:spacing w:after="240" w:line="360" w:lineRule="auto"/>
        <w:rPr>
          <w:lang w:val="en-US"/>
        </w:rPr>
      </w:pPr>
      <w:r>
        <w:rPr>
          <w:noProof/>
          <w14:ligatures w14:val="standardContextual"/>
        </w:rPr>
        <w:lastRenderedPageBreak/>
        <w:drawing>
          <wp:inline distT="0" distB="0" distL="0" distR="0" wp14:anchorId="06918A9C" wp14:editId="187F2FA2">
            <wp:extent cx="6050280" cy="2256276"/>
            <wp:effectExtent l="0" t="0" r="7620" b="17145"/>
            <wp:docPr id="1500217172" name="Диаграмма 1">
              <a:extLst xmlns:a="http://schemas.openxmlformats.org/drawingml/2006/main">
                <a:ext uri="{FF2B5EF4-FFF2-40B4-BE49-F238E27FC236}">
                  <a16:creationId xmlns:a16="http://schemas.microsoft.com/office/drawing/2014/main" id="{45E1190F-1507-2E3F-056F-68471EC186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2FCA21" w14:textId="77777777" w:rsidR="004B0FA2" w:rsidRPr="00315B0A" w:rsidRDefault="004B0FA2" w:rsidP="00BF4CA2">
      <w:pPr>
        <w:pStyle w:val="ListParagraph"/>
        <w:numPr>
          <w:ilvl w:val="0"/>
          <w:numId w:val="9"/>
        </w:numPr>
        <w:spacing w:after="240" w:line="360" w:lineRule="auto"/>
        <w:rPr>
          <w:rFonts w:ascii="Times New Roman" w:hAnsi="Times New Roman" w:cs="Times New Roman"/>
          <w:b/>
          <w:bCs/>
          <w:sz w:val="28"/>
          <w:szCs w:val="28"/>
          <w:lang w:val="en-US"/>
        </w:rPr>
      </w:pPr>
      <w:r w:rsidRPr="00315B0A">
        <w:rPr>
          <w:rFonts w:ascii="Times New Roman" w:hAnsi="Times New Roman" w:cs="Times New Roman"/>
          <w:b/>
          <w:bCs/>
          <w:sz w:val="28"/>
          <w:szCs w:val="28"/>
          <w:lang w:val="en-US"/>
        </w:rPr>
        <w:t>Sensitivity Analysis</w:t>
      </w:r>
    </w:p>
    <w:tbl>
      <w:tblPr>
        <w:tblW w:w="9356" w:type="dxa"/>
        <w:tblLook w:val="04A0" w:firstRow="1" w:lastRow="0" w:firstColumn="1" w:lastColumn="0" w:noHBand="0" w:noVBand="1"/>
      </w:tblPr>
      <w:tblGrid>
        <w:gridCol w:w="1062"/>
        <w:gridCol w:w="2199"/>
        <w:gridCol w:w="2268"/>
        <w:gridCol w:w="2409"/>
        <w:gridCol w:w="1418"/>
      </w:tblGrid>
      <w:tr w:rsidR="001F1F30" w14:paraId="7AFFE01C" w14:textId="77777777" w:rsidTr="001F1F30">
        <w:trPr>
          <w:trHeight w:val="280"/>
        </w:trPr>
        <w:tc>
          <w:tcPr>
            <w:tcW w:w="9356" w:type="dxa"/>
            <w:gridSpan w:val="5"/>
            <w:tcBorders>
              <w:top w:val="nil"/>
              <w:left w:val="nil"/>
              <w:bottom w:val="nil"/>
              <w:right w:val="nil"/>
            </w:tcBorders>
            <w:shd w:val="clear" w:color="000000" w:fill="1F497D"/>
            <w:noWrap/>
            <w:vAlign w:val="bottom"/>
            <w:hideMark/>
          </w:tcPr>
          <w:p w14:paraId="586A244F" w14:textId="77777777" w:rsidR="001F1F30" w:rsidRDefault="001F1F30">
            <w:pPr>
              <w:jc w:val="center"/>
              <w:rPr>
                <w:rFonts w:ascii="Arial Narrow" w:hAnsi="Arial Narrow" w:cs="Calibri"/>
                <w:b/>
                <w:bCs/>
                <w:color w:val="FFFFFF"/>
                <w:sz w:val="20"/>
                <w:szCs w:val="20"/>
              </w:rPr>
            </w:pPr>
            <w:r>
              <w:rPr>
                <w:rFonts w:ascii="Arial Narrow" w:hAnsi="Arial Narrow" w:cs="Calibri"/>
                <w:b/>
                <w:bCs/>
                <w:color w:val="FFFFFF"/>
                <w:sz w:val="20"/>
                <w:szCs w:val="20"/>
              </w:rPr>
              <w:t xml:space="preserve">Share Price Sensitivity </w:t>
            </w:r>
          </w:p>
        </w:tc>
      </w:tr>
      <w:tr w:rsidR="001F1F30" w14:paraId="1D39B4F0" w14:textId="77777777" w:rsidTr="001F1F30">
        <w:trPr>
          <w:trHeight w:val="280"/>
        </w:trPr>
        <w:tc>
          <w:tcPr>
            <w:tcW w:w="1062" w:type="dxa"/>
            <w:tcBorders>
              <w:top w:val="nil"/>
              <w:left w:val="nil"/>
              <w:bottom w:val="nil"/>
              <w:right w:val="nil"/>
            </w:tcBorders>
            <w:shd w:val="clear" w:color="auto" w:fill="auto"/>
            <w:noWrap/>
            <w:vAlign w:val="bottom"/>
            <w:hideMark/>
          </w:tcPr>
          <w:p w14:paraId="45458436" w14:textId="77777777" w:rsidR="001F1F30" w:rsidRDefault="001F1F30">
            <w:pPr>
              <w:jc w:val="center"/>
              <w:rPr>
                <w:rFonts w:ascii="Arial Narrow" w:hAnsi="Arial Narrow" w:cs="Calibri"/>
                <w:b/>
                <w:bCs/>
                <w:color w:val="FFFFFF"/>
                <w:sz w:val="20"/>
                <w:szCs w:val="20"/>
              </w:rPr>
            </w:pPr>
          </w:p>
        </w:tc>
        <w:tc>
          <w:tcPr>
            <w:tcW w:w="2199" w:type="dxa"/>
            <w:tcBorders>
              <w:top w:val="nil"/>
              <w:left w:val="nil"/>
              <w:bottom w:val="nil"/>
              <w:right w:val="nil"/>
            </w:tcBorders>
            <w:shd w:val="clear" w:color="auto" w:fill="auto"/>
            <w:noWrap/>
            <w:vAlign w:val="bottom"/>
            <w:hideMark/>
          </w:tcPr>
          <w:p w14:paraId="16EDF724" w14:textId="77777777" w:rsidR="001F1F30" w:rsidRDefault="001F1F30">
            <w:pPr>
              <w:rPr>
                <w:sz w:val="20"/>
                <w:szCs w:val="20"/>
              </w:rPr>
            </w:pPr>
          </w:p>
        </w:tc>
        <w:tc>
          <w:tcPr>
            <w:tcW w:w="6095" w:type="dxa"/>
            <w:gridSpan w:val="3"/>
            <w:tcBorders>
              <w:top w:val="nil"/>
              <w:left w:val="nil"/>
              <w:bottom w:val="single" w:sz="4" w:space="0" w:color="auto"/>
              <w:right w:val="nil"/>
            </w:tcBorders>
            <w:shd w:val="clear" w:color="auto" w:fill="auto"/>
            <w:noWrap/>
            <w:vAlign w:val="bottom"/>
            <w:hideMark/>
          </w:tcPr>
          <w:p w14:paraId="422EECA8" w14:textId="77777777" w:rsidR="001F1F30" w:rsidRDefault="001F1F30">
            <w:pPr>
              <w:jc w:val="center"/>
              <w:rPr>
                <w:rFonts w:ascii="Arial Narrow" w:hAnsi="Arial Narrow" w:cs="Calibri"/>
                <w:i/>
                <w:iCs/>
                <w:sz w:val="20"/>
                <w:szCs w:val="20"/>
              </w:rPr>
            </w:pPr>
            <w:r>
              <w:rPr>
                <w:rFonts w:ascii="Arial Narrow" w:hAnsi="Arial Narrow" w:cs="Calibri"/>
                <w:i/>
                <w:iCs/>
                <w:sz w:val="20"/>
                <w:szCs w:val="20"/>
              </w:rPr>
              <w:t>Perpetual Growth Rate</w:t>
            </w:r>
          </w:p>
        </w:tc>
      </w:tr>
      <w:tr w:rsidR="001F1F30" w14:paraId="7993A34A" w14:textId="77777777" w:rsidTr="001F1F30">
        <w:trPr>
          <w:trHeight w:val="280"/>
        </w:trPr>
        <w:tc>
          <w:tcPr>
            <w:tcW w:w="1062" w:type="dxa"/>
            <w:tcBorders>
              <w:top w:val="nil"/>
              <w:left w:val="nil"/>
              <w:bottom w:val="nil"/>
              <w:right w:val="nil"/>
            </w:tcBorders>
            <w:shd w:val="clear" w:color="auto" w:fill="auto"/>
            <w:noWrap/>
            <w:vAlign w:val="bottom"/>
            <w:hideMark/>
          </w:tcPr>
          <w:p w14:paraId="49DF0EBD" w14:textId="77777777" w:rsidR="001F1F30" w:rsidRDefault="001F1F30">
            <w:pPr>
              <w:jc w:val="center"/>
              <w:rPr>
                <w:rFonts w:ascii="Arial Narrow" w:hAnsi="Arial Narrow" w:cs="Calibri"/>
                <w:i/>
                <w:iCs/>
                <w:sz w:val="20"/>
                <w:szCs w:val="20"/>
              </w:rPr>
            </w:pPr>
          </w:p>
        </w:tc>
        <w:tc>
          <w:tcPr>
            <w:tcW w:w="2199" w:type="dxa"/>
            <w:tcBorders>
              <w:top w:val="nil"/>
              <w:left w:val="nil"/>
              <w:bottom w:val="nil"/>
              <w:right w:val="nil"/>
            </w:tcBorders>
            <w:shd w:val="clear" w:color="auto" w:fill="auto"/>
            <w:noWrap/>
            <w:hideMark/>
          </w:tcPr>
          <w:p w14:paraId="0D45414E" w14:textId="77777777" w:rsidR="001F1F30" w:rsidRDefault="001F1F30">
            <w:pPr>
              <w:rPr>
                <w:sz w:val="20"/>
                <w:szCs w:val="20"/>
              </w:rPr>
            </w:pPr>
          </w:p>
        </w:tc>
        <w:tc>
          <w:tcPr>
            <w:tcW w:w="2268" w:type="dxa"/>
            <w:tcBorders>
              <w:top w:val="nil"/>
              <w:left w:val="nil"/>
              <w:bottom w:val="nil"/>
              <w:right w:val="nil"/>
            </w:tcBorders>
            <w:shd w:val="clear" w:color="auto" w:fill="auto"/>
            <w:noWrap/>
            <w:hideMark/>
          </w:tcPr>
          <w:p w14:paraId="34E6FC3E"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0,75%</w:t>
            </w:r>
          </w:p>
        </w:tc>
        <w:tc>
          <w:tcPr>
            <w:tcW w:w="2409" w:type="dxa"/>
            <w:tcBorders>
              <w:top w:val="nil"/>
              <w:left w:val="nil"/>
              <w:bottom w:val="nil"/>
              <w:right w:val="nil"/>
            </w:tcBorders>
            <w:shd w:val="clear" w:color="auto" w:fill="auto"/>
            <w:noWrap/>
            <w:hideMark/>
          </w:tcPr>
          <w:p w14:paraId="1C67A520"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1,00%</w:t>
            </w:r>
          </w:p>
        </w:tc>
        <w:tc>
          <w:tcPr>
            <w:tcW w:w="1418" w:type="dxa"/>
            <w:tcBorders>
              <w:top w:val="nil"/>
              <w:left w:val="nil"/>
              <w:bottom w:val="nil"/>
              <w:right w:val="nil"/>
            </w:tcBorders>
            <w:shd w:val="clear" w:color="auto" w:fill="auto"/>
            <w:noWrap/>
            <w:hideMark/>
          </w:tcPr>
          <w:p w14:paraId="4F3684DB"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1,25%</w:t>
            </w:r>
          </w:p>
        </w:tc>
      </w:tr>
      <w:tr w:rsidR="001F1F30" w14:paraId="22372FFA" w14:textId="77777777" w:rsidTr="001F1F30">
        <w:trPr>
          <w:trHeight w:val="280"/>
        </w:trPr>
        <w:tc>
          <w:tcPr>
            <w:tcW w:w="1062" w:type="dxa"/>
            <w:tcBorders>
              <w:top w:val="nil"/>
              <w:left w:val="nil"/>
              <w:bottom w:val="nil"/>
              <w:right w:val="single" w:sz="4" w:space="0" w:color="auto"/>
            </w:tcBorders>
            <w:shd w:val="clear" w:color="auto" w:fill="auto"/>
            <w:noWrap/>
            <w:vAlign w:val="bottom"/>
            <w:hideMark/>
          </w:tcPr>
          <w:p w14:paraId="2FEC5701" w14:textId="77777777" w:rsidR="001F1F30" w:rsidRDefault="001F1F30">
            <w:pPr>
              <w:jc w:val="right"/>
              <w:rPr>
                <w:rFonts w:ascii="Arial Narrow" w:hAnsi="Arial Narrow" w:cs="Calibri"/>
                <w:sz w:val="20"/>
                <w:szCs w:val="20"/>
              </w:rPr>
            </w:pPr>
            <w:r>
              <w:rPr>
                <w:rFonts w:ascii="Arial Narrow" w:hAnsi="Arial Narrow" w:cs="Calibri"/>
                <w:sz w:val="20"/>
                <w:szCs w:val="20"/>
              </w:rPr>
              <w:t> </w:t>
            </w:r>
          </w:p>
        </w:tc>
        <w:tc>
          <w:tcPr>
            <w:tcW w:w="2199" w:type="dxa"/>
            <w:tcBorders>
              <w:top w:val="nil"/>
              <w:left w:val="nil"/>
              <w:bottom w:val="nil"/>
              <w:right w:val="nil"/>
            </w:tcBorders>
            <w:shd w:val="clear" w:color="auto" w:fill="auto"/>
            <w:noWrap/>
            <w:hideMark/>
          </w:tcPr>
          <w:p w14:paraId="18D2846D"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3,2%</w:t>
            </w:r>
          </w:p>
        </w:tc>
        <w:tc>
          <w:tcPr>
            <w:tcW w:w="2268" w:type="dxa"/>
            <w:tcBorders>
              <w:top w:val="single" w:sz="4" w:space="0" w:color="auto"/>
              <w:left w:val="single" w:sz="4" w:space="0" w:color="auto"/>
              <w:bottom w:val="nil"/>
              <w:right w:val="nil"/>
            </w:tcBorders>
            <w:shd w:val="clear" w:color="auto" w:fill="auto"/>
            <w:noWrap/>
            <w:vAlign w:val="center"/>
            <w:hideMark/>
          </w:tcPr>
          <w:p w14:paraId="5F2F12E0" w14:textId="77777777" w:rsidR="001F1F30" w:rsidRDefault="001F1F30">
            <w:pPr>
              <w:jc w:val="right"/>
              <w:rPr>
                <w:rFonts w:ascii="Arial Narrow" w:hAnsi="Arial Narrow" w:cs="Calibri"/>
                <w:sz w:val="20"/>
                <w:szCs w:val="20"/>
              </w:rPr>
            </w:pPr>
            <w:r>
              <w:rPr>
                <w:rFonts w:ascii="Arial Narrow" w:hAnsi="Arial Narrow" w:cs="Calibri"/>
                <w:sz w:val="20"/>
                <w:szCs w:val="20"/>
              </w:rPr>
              <w:t xml:space="preserve">$163,72 </w:t>
            </w:r>
          </w:p>
        </w:tc>
        <w:tc>
          <w:tcPr>
            <w:tcW w:w="2409" w:type="dxa"/>
            <w:tcBorders>
              <w:top w:val="single" w:sz="4" w:space="0" w:color="auto"/>
              <w:left w:val="nil"/>
              <w:bottom w:val="nil"/>
              <w:right w:val="nil"/>
            </w:tcBorders>
            <w:shd w:val="clear" w:color="auto" w:fill="auto"/>
            <w:noWrap/>
            <w:vAlign w:val="center"/>
            <w:hideMark/>
          </w:tcPr>
          <w:p w14:paraId="2BF40DF1" w14:textId="77777777" w:rsidR="001F1F30" w:rsidRDefault="001F1F30">
            <w:pPr>
              <w:jc w:val="right"/>
              <w:rPr>
                <w:rFonts w:ascii="Arial Narrow" w:hAnsi="Arial Narrow" w:cs="Calibri"/>
                <w:sz w:val="20"/>
                <w:szCs w:val="20"/>
              </w:rPr>
            </w:pPr>
            <w:r>
              <w:rPr>
                <w:rFonts w:ascii="Arial Narrow" w:hAnsi="Arial Narrow" w:cs="Calibri"/>
                <w:sz w:val="20"/>
                <w:szCs w:val="20"/>
              </w:rPr>
              <w:t xml:space="preserve">$181,62 </w:t>
            </w:r>
          </w:p>
        </w:tc>
        <w:tc>
          <w:tcPr>
            <w:tcW w:w="1418" w:type="dxa"/>
            <w:tcBorders>
              <w:top w:val="single" w:sz="4" w:space="0" w:color="auto"/>
              <w:left w:val="nil"/>
              <w:bottom w:val="nil"/>
              <w:right w:val="single" w:sz="4" w:space="0" w:color="auto"/>
            </w:tcBorders>
            <w:shd w:val="clear" w:color="auto" w:fill="auto"/>
            <w:noWrap/>
            <w:vAlign w:val="center"/>
            <w:hideMark/>
          </w:tcPr>
          <w:p w14:paraId="4CC7A5F9" w14:textId="77777777" w:rsidR="001F1F30" w:rsidRDefault="001F1F30">
            <w:pPr>
              <w:jc w:val="right"/>
              <w:rPr>
                <w:rFonts w:ascii="Arial Narrow" w:hAnsi="Arial Narrow" w:cs="Calibri"/>
                <w:sz w:val="20"/>
                <w:szCs w:val="20"/>
              </w:rPr>
            </w:pPr>
            <w:r>
              <w:rPr>
                <w:rFonts w:ascii="Arial Narrow" w:hAnsi="Arial Narrow" w:cs="Calibri"/>
                <w:sz w:val="20"/>
                <w:szCs w:val="20"/>
              </w:rPr>
              <w:t xml:space="preserve">$204,11 </w:t>
            </w:r>
          </w:p>
        </w:tc>
      </w:tr>
      <w:tr w:rsidR="001F1F30" w14:paraId="3A3D9D4C" w14:textId="77777777" w:rsidTr="001F1F30">
        <w:trPr>
          <w:trHeight w:val="280"/>
        </w:trPr>
        <w:tc>
          <w:tcPr>
            <w:tcW w:w="1062" w:type="dxa"/>
            <w:tcBorders>
              <w:top w:val="nil"/>
              <w:left w:val="nil"/>
              <w:bottom w:val="nil"/>
              <w:right w:val="single" w:sz="4" w:space="0" w:color="auto"/>
            </w:tcBorders>
            <w:shd w:val="clear" w:color="auto" w:fill="auto"/>
            <w:noWrap/>
            <w:vAlign w:val="bottom"/>
            <w:hideMark/>
          </w:tcPr>
          <w:p w14:paraId="3A386097" w14:textId="77777777" w:rsidR="001F1F30" w:rsidRDefault="001F1F30">
            <w:pPr>
              <w:jc w:val="right"/>
              <w:rPr>
                <w:rFonts w:ascii="Arial Narrow" w:hAnsi="Arial Narrow" w:cs="Calibri"/>
                <w:i/>
                <w:iCs/>
                <w:sz w:val="20"/>
                <w:szCs w:val="20"/>
              </w:rPr>
            </w:pPr>
            <w:r>
              <w:rPr>
                <w:rFonts w:ascii="Arial Narrow" w:hAnsi="Arial Narrow" w:cs="Calibri"/>
                <w:i/>
                <w:iCs/>
                <w:sz w:val="20"/>
                <w:szCs w:val="20"/>
              </w:rPr>
              <w:t>Disc</w:t>
            </w:r>
          </w:p>
        </w:tc>
        <w:tc>
          <w:tcPr>
            <w:tcW w:w="2199" w:type="dxa"/>
            <w:tcBorders>
              <w:top w:val="nil"/>
              <w:left w:val="nil"/>
              <w:bottom w:val="nil"/>
              <w:right w:val="nil"/>
            </w:tcBorders>
            <w:shd w:val="clear" w:color="auto" w:fill="auto"/>
            <w:noWrap/>
            <w:hideMark/>
          </w:tcPr>
          <w:p w14:paraId="1FDE415F"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3,7%</w:t>
            </w:r>
          </w:p>
        </w:tc>
        <w:tc>
          <w:tcPr>
            <w:tcW w:w="2268" w:type="dxa"/>
            <w:tcBorders>
              <w:top w:val="nil"/>
              <w:left w:val="single" w:sz="4" w:space="0" w:color="auto"/>
              <w:bottom w:val="nil"/>
              <w:right w:val="nil"/>
            </w:tcBorders>
            <w:shd w:val="clear" w:color="auto" w:fill="auto"/>
            <w:noWrap/>
            <w:vAlign w:val="center"/>
            <w:hideMark/>
          </w:tcPr>
          <w:p w14:paraId="2C7E9C0D" w14:textId="77777777" w:rsidR="001F1F30" w:rsidRDefault="001F1F30">
            <w:pPr>
              <w:jc w:val="right"/>
              <w:rPr>
                <w:rFonts w:ascii="Arial Narrow" w:hAnsi="Arial Narrow" w:cs="Calibri"/>
                <w:sz w:val="20"/>
                <w:szCs w:val="20"/>
              </w:rPr>
            </w:pPr>
            <w:r>
              <w:rPr>
                <w:rFonts w:ascii="Arial Narrow" w:hAnsi="Arial Narrow" w:cs="Calibri"/>
                <w:sz w:val="20"/>
                <w:szCs w:val="20"/>
              </w:rPr>
              <w:t>133,65</w:t>
            </w:r>
          </w:p>
        </w:tc>
        <w:tc>
          <w:tcPr>
            <w:tcW w:w="2409" w:type="dxa"/>
            <w:tcBorders>
              <w:top w:val="nil"/>
              <w:left w:val="nil"/>
              <w:bottom w:val="nil"/>
              <w:right w:val="nil"/>
            </w:tcBorders>
            <w:shd w:val="clear" w:color="auto" w:fill="auto"/>
            <w:noWrap/>
            <w:vAlign w:val="center"/>
            <w:hideMark/>
          </w:tcPr>
          <w:p w14:paraId="10355D97" w14:textId="77777777" w:rsidR="001F1F30" w:rsidRDefault="001F1F30">
            <w:pPr>
              <w:jc w:val="right"/>
              <w:rPr>
                <w:rFonts w:ascii="Arial Narrow" w:hAnsi="Arial Narrow" w:cs="Calibri"/>
                <w:sz w:val="20"/>
                <w:szCs w:val="20"/>
              </w:rPr>
            </w:pPr>
            <w:r>
              <w:rPr>
                <w:rFonts w:ascii="Arial Narrow" w:hAnsi="Arial Narrow" w:cs="Calibri"/>
                <w:sz w:val="20"/>
                <w:szCs w:val="20"/>
              </w:rPr>
              <w:t>145,47</w:t>
            </w:r>
          </w:p>
        </w:tc>
        <w:tc>
          <w:tcPr>
            <w:tcW w:w="1418" w:type="dxa"/>
            <w:tcBorders>
              <w:top w:val="nil"/>
              <w:left w:val="nil"/>
              <w:bottom w:val="nil"/>
              <w:right w:val="single" w:sz="4" w:space="0" w:color="auto"/>
            </w:tcBorders>
            <w:shd w:val="clear" w:color="auto" w:fill="auto"/>
            <w:noWrap/>
            <w:vAlign w:val="center"/>
            <w:hideMark/>
          </w:tcPr>
          <w:p w14:paraId="6A542C8A" w14:textId="77777777" w:rsidR="001F1F30" w:rsidRDefault="001F1F30">
            <w:pPr>
              <w:jc w:val="right"/>
              <w:rPr>
                <w:rFonts w:ascii="Arial Narrow" w:hAnsi="Arial Narrow" w:cs="Calibri"/>
                <w:sz w:val="20"/>
                <w:szCs w:val="20"/>
              </w:rPr>
            </w:pPr>
            <w:r>
              <w:rPr>
                <w:rFonts w:ascii="Arial Narrow" w:hAnsi="Arial Narrow" w:cs="Calibri"/>
                <w:sz w:val="20"/>
                <w:szCs w:val="20"/>
              </w:rPr>
              <w:t>159,71</w:t>
            </w:r>
          </w:p>
        </w:tc>
      </w:tr>
      <w:tr w:rsidR="001F1F30" w14:paraId="54D1EFC5" w14:textId="77777777" w:rsidTr="001F1F30">
        <w:trPr>
          <w:trHeight w:val="280"/>
        </w:trPr>
        <w:tc>
          <w:tcPr>
            <w:tcW w:w="1062" w:type="dxa"/>
            <w:tcBorders>
              <w:top w:val="nil"/>
              <w:left w:val="nil"/>
              <w:bottom w:val="nil"/>
              <w:right w:val="single" w:sz="4" w:space="0" w:color="auto"/>
            </w:tcBorders>
            <w:shd w:val="clear" w:color="auto" w:fill="auto"/>
            <w:noWrap/>
            <w:vAlign w:val="bottom"/>
            <w:hideMark/>
          </w:tcPr>
          <w:p w14:paraId="68C84D6A" w14:textId="77777777" w:rsidR="001F1F30" w:rsidRDefault="001F1F30">
            <w:pPr>
              <w:jc w:val="right"/>
              <w:rPr>
                <w:rFonts w:ascii="Arial Narrow" w:hAnsi="Arial Narrow" w:cs="Calibri"/>
                <w:i/>
                <w:iCs/>
                <w:sz w:val="20"/>
                <w:szCs w:val="20"/>
              </w:rPr>
            </w:pPr>
            <w:r>
              <w:rPr>
                <w:rFonts w:ascii="Arial Narrow" w:hAnsi="Arial Narrow" w:cs="Calibri"/>
                <w:i/>
                <w:iCs/>
                <w:sz w:val="20"/>
                <w:szCs w:val="20"/>
              </w:rPr>
              <w:t>Rate</w:t>
            </w:r>
          </w:p>
        </w:tc>
        <w:tc>
          <w:tcPr>
            <w:tcW w:w="2199" w:type="dxa"/>
            <w:tcBorders>
              <w:top w:val="nil"/>
              <w:left w:val="nil"/>
              <w:bottom w:val="nil"/>
              <w:right w:val="nil"/>
            </w:tcBorders>
            <w:shd w:val="clear" w:color="auto" w:fill="auto"/>
            <w:noWrap/>
            <w:hideMark/>
          </w:tcPr>
          <w:p w14:paraId="674ECF6B"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4,2%</w:t>
            </w:r>
          </w:p>
        </w:tc>
        <w:tc>
          <w:tcPr>
            <w:tcW w:w="2268" w:type="dxa"/>
            <w:tcBorders>
              <w:top w:val="nil"/>
              <w:left w:val="single" w:sz="4" w:space="0" w:color="auto"/>
              <w:bottom w:val="nil"/>
              <w:right w:val="nil"/>
            </w:tcBorders>
            <w:shd w:val="clear" w:color="auto" w:fill="auto"/>
            <w:noWrap/>
            <w:vAlign w:val="center"/>
            <w:hideMark/>
          </w:tcPr>
          <w:p w14:paraId="55783BFF" w14:textId="77777777" w:rsidR="001F1F30" w:rsidRDefault="001F1F30">
            <w:pPr>
              <w:jc w:val="right"/>
              <w:rPr>
                <w:rFonts w:ascii="Arial Narrow" w:hAnsi="Arial Narrow" w:cs="Calibri"/>
                <w:sz w:val="20"/>
                <w:szCs w:val="20"/>
              </w:rPr>
            </w:pPr>
            <w:r>
              <w:rPr>
                <w:rFonts w:ascii="Arial Narrow" w:hAnsi="Arial Narrow" w:cs="Calibri"/>
                <w:sz w:val="20"/>
                <w:szCs w:val="20"/>
              </w:rPr>
              <w:t>112,94</w:t>
            </w:r>
          </w:p>
        </w:tc>
        <w:tc>
          <w:tcPr>
            <w:tcW w:w="2409" w:type="dxa"/>
            <w:tcBorders>
              <w:top w:val="nil"/>
              <w:left w:val="nil"/>
              <w:bottom w:val="nil"/>
              <w:right w:val="nil"/>
            </w:tcBorders>
            <w:shd w:val="clear" w:color="000000" w:fill="B8CCE4"/>
            <w:noWrap/>
            <w:vAlign w:val="center"/>
            <w:hideMark/>
          </w:tcPr>
          <w:p w14:paraId="00A296B5" w14:textId="77777777" w:rsidR="001F1F30" w:rsidRDefault="001F1F30">
            <w:pPr>
              <w:jc w:val="right"/>
              <w:rPr>
                <w:rFonts w:ascii="Arial Narrow" w:hAnsi="Arial Narrow" w:cs="Calibri"/>
                <w:b/>
                <w:bCs/>
                <w:sz w:val="20"/>
                <w:szCs w:val="20"/>
              </w:rPr>
            </w:pPr>
            <w:r>
              <w:rPr>
                <w:rFonts w:ascii="Arial Narrow" w:hAnsi="Arial Narrow" w:cs="Calibri"/>
                <w:b/>
                <w:bCs/>
                <w:sz w:val="20"/>
                <w:szCs w:val="20"/>
              </w:rPr>
              <w:t>121,36</w:t>
            </w:r>
          </w:p>
        </w:tc>
        <w:tc>
          <w:tcPr>
            <w:tcW w:w="1418" w:type="dxa"/>
            <w:tcBorders>
              <w:top w:val="nil"/>
              <w:left w:val="nil"/>
              <w:bottom w:val="nil"/>
              <w:right w:val="single" w:sz="4" w:space="0" w:color="auto"/>
            </w:tcBorders>
            <w:shd w:val="clear" w:color="auto" w:fill="auto"/>
            <w:noWrap/>
            <w:vAlign w:val="center"/>
            <w:hideMark/>
          </w:tcPr>
          <w:p w14:paraId="787C54E6" w14:textId="77777777" w:rsidR="001F1F30" w:rsidRDefault="001F1F30">
            <w:pPr>
              <w:jc w:val="right"/>
              <w:rPr>
                <w:rFonts w:ascii="Arial Narrow" w:hAnsi="Arial Narrow" w:cs="Calibri"/>
                <w:sz w:val="20"/>
                <w:szCs w:val="20"/>
              </w:rPr>
            </w:pPr>
            <w:r>
              <w:rPr>
                <w:rFonts w:ascii="Arial Narrow" w:hAnsi="Arial Narrow" w:cs="Calibri"/>
                <w:sz w:val="20"/>
                <w:szCs w:val="20"/>
              </w:rPr>
              <w:t>131,22</w:t>
            </w:r>
          </w:p>
        </w:tc>
      </w:tr>
      <w:tr w:rsidR="001F1F30" w14:paraId="5D9EA7F9" w14:textId="77777777" w:rsidTr="001F1F30">
        <w:trPr>
          <w:trHeight w:val="280"/>
        </w:trPr>
        <w:tc>
          <w:tcPr>
            <w:tcW w:w="1062" w:type="dxa"/>
            <w:tcBorders>
              <w:top w:val="nil"/>
              <w:left w:val="nil"/>
              <w:bottom w:val="nil"/>
              <w:right w:val="single" w:sz="4" w:space="0" w:color="auto"/>
            </w:tcBorders>
            <w:shd w:val="clear" w:color="auto" w:fill="auto"/>
            <w:noWrap/>
            <w:vAlign w:val="bottom"/>
            <w:hideMark/>
          </w:tcPr>
          <w:p w14:paraId="14E83375" w14:textId="77777777" w:rsidR="001F1F30" w:rsidRDefault="001F1F30">
            <w:pPr>
              <w:jc w:val="right"/>
              <w:rPr>
                <w:rFonts w:ascii="Arial Narrow" w:hAnsi="Arial Narrow" w:cs="Calibri"/>
                <w:sz w:val="20"/>
                <w:szCs w:val="20"/>
              </w:rPr>
            </w:pPr>
            <w:r>
              <w:rPr>
                <w:rFonts w:ascii="Arial Narrow" w:hAnsi="Arial Narrow" w:cs="Calibri"/>
                <w:sz w:val="20"/>
                <w:szCs w:val="20"/>
              </w:rPr>
              <w:t> </w:t>
            </w:r>
          </w:p>
        </w:tc>
        <w:tc>
          <w:tcPr>
            <w:tcW w:w="2199" w:type="dxa"/>
            <w:tcBorders>
              <w:top w:val="nil"/>
              <w:left w:val="nil"/>
              <w:bottom w:val="nil"/>
              <w:right w:val="nil"/>
            </w:tcBorders>
            <w:shd w:val="clear" w:color="auto" w:fill="auto"/>
            <w:noWrap/>
            <w:hideMark/>
          </w:tcPr>
          <w:p w14:paraId="2B0ACFA5"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4,7%</w:t>
            </w:r>
          </w:p>
        </w:tc>
        <w:tc>
          <w:tcPr>
            <w:tcW w:w="2268" w:type="dxa"/>
            <w:tcBorders>
              <w:top w:val="nil"/>
              <w:left w:val="single" w:sz="4" w:space="0" w:color="auto"/>
              <w:bottom w:val="single" w:sz="4" w:space="0" w:color="auto"/>
              <w:right w:val="nil"/>
            </w:tcBorders>
            <w:shd w:val="clear" w:color="auto" w:fill="auto"/>
            <w:noWrap/>
            <w:vAlign w:val="center"/>
            <w:hideMark/>
          </w:tcPr>
          <w:p w14:paraId="58CCB300" w14:textId="77777777" w:rsidR="001F1F30" w:rsidRDefault="001F1F30">
            <w:pPr>
              <w:jc w:val="right"/>
              <w:rPr>
                <w:rFonts w:ascii="Arial Narrow" w:hAnsi="Arial Narrow" w:cs="Calibri"/>
                <w:sz w:val="20"/>
                <w:szCs w:val="20"/>
              </w:rPr>
            </w:pPr>
            <w:r>
              <w:rPr>
                <w:rFonts w:ascii="Arial Narrow" w:hAnsi="Arial Narrow" w:cs="Calibri"/>
                <w:sz w:val="20"/>
                <w:szCs w:val="20"/>
              </w:rPr>
              <w:t>96,37</w:t>
            </w:r>
          </w:p>
        </w:tc>
        <w:tc>
          <w:tcPr>
            <w:tcW w:w="2409" w:type="dxa"/>
            <w:tcBorders>
              <w:top w:val="nil"/>
              <w:left w:val="nil"/>
              <w:bottom w:val="single" w:sz="4" w:space="0" w:color="auto"/>
              <w:right w:val="nil"/>
            </w:tcBorders>
            <w:shd w:val="clear" w:color="auto" w:fill="auto"/>
            <w:noWrap/>
            <w:vAlign w:val="center"/>
            <w:hideMark/>
          </w:tcPr>
          <w:p w14:paraId="3FFBDA78" w14:textId="77777777" w:rsidR="001F1F30" w:rsidRDefault="001F1F30">
            <w:pPr>
              <w:jc w:val="right"/>
              <w:rPr>
                <w:rFonts w:ascii="Arial Narrow" w:hAnsi="Arial Narrow" w:cs="Calibri"/>
                <w:sz w:val="20"/>
                <w:szCs w:val="20"/>
              </w:rPr>
            </w:pPr>
            <w:r>
              <w:rPr>
                <w:rFonts w:ascii="Arial Narrow" w:hAnsi="Arial Narrow" w:cs="Calibri"/>
                <w:sz w:val="20"/>
                <w:szCs w:val="20"/>
              </w:rPr>
              <w:t>102,51</w:t>
            </w:r>
          </w:p>
        </w:tc>
        <w:tc>
          <w:tcPr>
            <w:tcW w:w="1418" w:type="dxa"/>
            <w:tcBorders>
              <w:top w:val="nil"/>
              <w:left w:val="nil"/>
              <w:bottom w:val="single" w:sz="4" w:space="0" w:color="auto"/>
              <w:right w:val="single" w:sz="4" w:space="0" w:color="auto"/>
            </w:tcBorders>
            <w:shd w:val="clear" w:color="auto" w:fill="auto"/>
            <w:noWrap/>
            <w:vAlign w:val="center"/>
            <w:hideMark/>
          </w:tcPr>
          <w:p w14:paraId="3BF914C5" w14:textId="77777777" w:rsidR="001F1F30" w:rsidRDefault="001F1F30">
            <w:pPr>
              <w:jc w:val="right"/>
              <w:rPr>
                <w:rFonts w:ascii="Arial Narrow" w:hAnsi="Arial Narrow" w:cs="Calibri"/>
                <w:sz w:val="20"/>
                <w:szCs w:val="20"/>
              </w:rPr>
            </w:pPr>
            <w:r>
              <w:rPr>
                <w:rFonts w:ascii="Arial Narrow" w:hAnsi="Arial Narrow" w:cs="Calibri"/>
                <w:sz w:val="20"/>
                <w:szCs w:val="20"/>
              </w:rPr>
              <w:t>109,54</w:t>
            </w:r>
          </w:p>
        </w:tc>
      </w:tr>
    </w:tbl>
    <w:p w14:paraId="2A9EF691" w14:textId="77777777" w:rsidR="004B0FA2" w:rsidRPr="004B0FA2" w:rsidRDefault="004B0FA2" w:rsidP="004B0FA2">
      <w:pPr>
        <w:spacing w:after="240" w:line="360" w:lineRule="auto"/>
        <w:rPr>
          <w:b/>
          <w:bCs/>
          <w:sz w:val="28"/>
          <w:szCs w:val="28"/>
          <w:lang w:val="en-US"/>
        </w:rPr>
      </w:pPr>
    </w:p>
    <w:tbl>
      <w:tblPr>
        <w:tblW w:w="9536" w:type="dxa"/>
        <w:tblLook w:val="04A0" w:firstRow="1" w:lastRow="0" w:firstColumn="1" w:lastColumn="0" w:noHBand="0" w:noVBand="1"/>
      </w:tblPr>
      <w:tblGrid>
        <w:gridCol w:w="1276"/>
        <w:gridCol w:w="2004"/>
        <w:gridCol w:w="2268"/>
        <w:gridCol w:w="2409"/>
        <w:gridCol w:w="1598"/>
      </w:tblGrid>
      <w:tr w:rsidR="001F1F30" w14:paraId="71D6C8FF" w14:textId="77777777" w:rsidTr="001F1F30">
        <w:trPr>
          <w:trHeight w:val="280"/>
        </w:trPr>
        <w:tc>
          <w:tcPr>
            <w:tcW w:w="9536" w:type="dxa"/>
            <w:gridSpan w:val="5"/>
            <w:tcBorders>
              <w:top w:val="nil"/>
              <w:left w:val="nil"/>
              <w:bottom w:val="nil"/>
              <w:right w:val="nil"/>
            </w:tcBorders>
            <w:shd w:val="clear" w:color="000000" w:fill="1F497D"/>
            <w:noWrap/>
            <w:vAlign w:val="bottom"/>
            <w:hideMark/>
          </w:tcPr>
          <w:p w14:paraId="2F65DCDD" w14:textId="77777777" w:rsidR="001F1F30" w:rsidRDefault="001F1F30">
            <w:pPr>
              <w:jc w:val="center"/>
              <w:rPr>
                <w:rFonts w:ascii="Arial Narrow" w:hAnsi="Arial Narrow" w:cs="Calibri"/>
                <w:b/>
                <w:bCs/>
                <w:color w:val="FFFFFF"/>
                <w:sz w:val="20"/>
                <w:szCs w:val="20"/>
              </w:rPr>
            </w:pPr>
            <w:r>
              <w:rPr>
                <w:rFonts w:ascii="Arial Narrow" w:hAnsi="Arial Narrow" w:cs="Calibri"/>
                <w:b/>
                <w:bCs/>
                <w:color w:val="FFFFFF"/>
                <w:sz w:val="20"/>
                <w:szCs w:val="20"/>
              </w:rPr>
              <w:t xml:space="preserve">EV / EBITDA Multiple Sensitivity </w:t>
            </w:r>
          </w:p>
        </w:tc>
      </w:tr>
      <w:tr w:rsidR="001F1F30" w14:paraId="3B1CE13F" w14:textId="77777777" w:rsidTr="001F1F30">
        <w:trPr>
          <w:trHeight w:val="280"/>
        </w:trPr>
        <w:tc>
          <w:tcPr>
            <w:tcW w:w="1276" w:type="dxa"/>
            <w:tcBorders>
              <w:top w:val="nil"/>
              <w:left w:val="nil"/>
              <w:bottom w:val="nil"/>
              <w:right w:val="nil"/>
            </w:tcBorders>
            <w:shd w:val="clear" w:color="auto" w:fill="auto"/>
            <w:noWrap/>
            <w:vAlign w:val="bottom"/>
            <w:hideMark/>
          </w:tcPr>
          <w:p w14:paraId="57E9E01D" w14:textId="77777777" w:rsidR="001F1F30" w:rsidRDefault="001F1F30">
            <w:pPr>
              <w:jc w:val="center"/>
              <w:rPr>
                <w:rFonts w:ascii="Arial Narrow" w:hAnsi="Arial Narrow" w:cs="Calibri"/>
                <w:b/>
                <w:bCs/>
                <w:color w:val="FFFFFF"/>
                <w:sz w:val="20"/>
                <w:szCs w:val="20"/>
              </w:rPr>
            </w:pPr>
          </w:p>
        </w:tc>
        <w:tc>
          <w:tcPr>
            <w:tcW w:w="2004" w:type="dxa"/>
            <w:tcBorders>
              <w:top w:val="nil"/>
              <w:left w:val="nil"/>
              <w:bottom w:val="nil"/>
              <w:right w:val="nil"/>
            </w:tcBorders>
            <w:shd w:val="clear" w:color="auto" w:fill="auto"/>
            <w:noWrap/>
            <w:vAlign w:val="bottom"/>
            <w:hideMark/>
          </w:tcPr>
          <w:p w14:paraId="42478D94" w14:textId="77777777" w:rsidR="001F1F30" w:rsidRDefault="001F1F30">
            <w:pPr>
              <w:rPr>
                <w:sz w:val="20"/>
                <w:szCs w:val="20"/>
              </w:rPr>
            </w:pPr>
          </w:p>
        </w:tc>
        <w:tc>
          <w:tcPr>
            <w:tcW w:w="6256" w:type="dxa"/>
            <w:gridSpan w:val="3"/>
            <w:tcBorders>
              <w:top w:val="nil"/>
              <w:left w:val="nil"/>
              <w:bottom w:val="single" w:sz="4" w:space="0" w:color="auto"/>
              <w:right w:val="nil"/>
            </w:tcBorders>
            <w:shd w:val="clear" w:color="auto" w:fill="auto"/>
            <w:noWrap/>
            <w:vAlign w:val="bottom"/>
            <w:hideMark/>
          </w:tcPr>
          <w:p w14:paraId="4E0F46D3" w14:textId="77777777" w:rsidR="001F1F30" w:rsidRDefault="001F1F30">
            <w:pPr>
              <w:jc w:val="center"/>
              <w:rPr>
                <w:rFonts w:ascii="Arial Narrow" w:hAnsi="Arial Narrow" w:cs="Calibri"/>
                <w:i/>
                <w:iCs/>
                <w:sz w:val="20"/>
                <w:szCs w:val="20"/>
              </w:rPr>
            </w:pPr>
            <w:r>
              <w:rPr>
                <w:rFonts w:ascii="Arial Narrow" w:hAnsi="Arial Narrow" w:cs="Calibri"/>
                <w:i/>
                <w:iCs/>
                <w:sz w:val="20"/>
                <w:szCs w:val="20"/>
              </w:rPr>
              <w:t>Perpetual Growth Rate</w:t>
            </w:r>
          </w:p>
        </w:tc>
      </w:tr>
      <w:tr w:rsidR="001F1F30" w14:paraId="6CB55FBC" w14:textId="77777777" w:rsidTr="001F1F30">
        <w:trPr>
          <w:trHeight w:val="280"/>
        </w:trPr>
        <w:tc>
          <w:tcPr>
            <w:tcW w:w="1276" w:type="dxa"/>
            <w:tcBorders>
              <w:top w:val="nil"/>
              <w:left w:val="nil"/>
              <w:bottom w:val="nil"/>
              <w:right w:val="nil"/>
            </w:tcBorders>
            <w:shd w:val="clear" w:color="auto" w:fill="auto"/>
            <w:noWrap/>
            <w:vAlign w:val="bottom"/>
            <w:hideMark/>
          </w:tcPr>
          <w:p w14:paraId="5DFA0A7F" w14:textId="77777777" w:rsidR="001F1F30" w:rsidRDefault="001F1F30">
            <w:pPr>
              <w:jc w:val="center"/>
              <w:rPr>
                <w:rFonts w:ascii="Arial Narrow" w:hAnsi="Arial Narrow" w:cs="Calibri"/>
                <w:i/>
                <w:iCs/>
                <w:sz w:val="20"/>
                <w:szCs w:val="20"/>
              </w:rPr>
            </w:pPr>
          </w:p>
        </w:tc>
        <w:tc>
          <w:tcPr>
            <w:tcW w:w="2004" w:type="dxa"/>
            <w:tcBorders>
              <w:top w:val="nil"/>
              <w:left w:val="nil"/>
              <w:bottom w:val="nil"/>
              <w:right w:val="nil"/>
            </w:tcBorders>
            <w:shd w:val="clear" w:color="auto" w:fill="auto"/>
            <w:noWrap/>
            <w:hideMark/>
          </w:tcPr>
          <w:p w14:paraId="5C719775" w14:textId="77777777" w:rsidR="001F1F30" w:rsidRDefault="001F1F30">
            <w:pPr>
              <w:rPr>
                <w:sz w:val="20"/>
                <w:szCs w:val="20"/>
              </w:rPr>
            </w:pPr>
          </w:p>
        </w:tc>
        <w:tc>
          <w:tcPr>
            <w:tcW w:w="2268" w:type="dxa"/>
            <w:tcBorders>
              <w:top w:val="nil"/>
              <w:left w:val="nil"/>
              <w:bottom w:val="nil"/>
              <w:right w:val="nil"/>
            </w:tcBorders>
            <w:shd w:val="clear" w:color="auto" w:fill="auto"/>
            <w:noWrap/>
            <w:hideMark/>
          </w:tcPr>
          <w:p w14:paraId="0CCC3DDF"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0,75%</w:t>
            </w:r>
          </w:p>
        </w:tc>
        <w:tc>
          <w:tcPr>
            <w:tcW w:w="2409" w:type="dxa"/>
            <w:tcBorders>
              <w:top w:val="nil"/>
              <w:left w:val="nil"/>
              <w:bottom w:val="nil"/>
              <w:right w:val="nil"/>
            </w:tcBorders>
            <w:shd w:val="clear" w:color="auto" w:fill="auto"/>
            <w:noWrap/>
            <w:hideMark/>
          </w:tcPr>
          <w:p w14:paraId="126E49BD"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1,00%</w:t>
            </w:r>
          </w:p>
        </w:tc>
        <w:tc>
          <w:tcPr>
            <w:tcW w:w="1579" w:type="dxa"/>
            <w:tcBorders>
              <w:top w:val="nil"/>
              <w:left w:val="nil"/>
              <w:bottom w:val="nil"/>
              <w:right w:val="nil"/>
            </w:tcBorders>
            <w:shd w:val="clear" w:color="auto" w:fill="auto"/>
            <w:noWrap/>
            <w:hideMark/>
          </w:tcPr>
          <w:p w14:paraId="2C0F9434"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1,25%</w:t>
            </w:r>
          </w:p>
        </w:tc>
      </w:tr>
      <w:tr w:rsidR="001F1F30" w14:paraId="7750CEB5" w14:textId="77777777" w:rsidTr="001F1F30">
        <w:trPr>
          <w:trHeight w:val="280"/>
        </w:trPr>
        <w:tc>
          <w:tcPr>
            <w:tcW w:w="1276" w:type="dxa"/>
            <w:tcBorders>
              <w:top w:val="nil"/>
              <w:left w:val="nil"/>
              <w:bottom w:val="nil"/>
              <w:right w:val="single" w:sz="4" w:space="0" w:color="auto"/>
            </w:tcBorders>
            <w:shd w:val="clear" w:color="auto" w:fill="auto"/>
            <w:noWrap/>
            <w:vAlign w:val="bottom"/>
            <w:hideMark/>
          </w:tcPr>
          <w:p w14:paraId="0526AF21" w14:textId="77777777" w:rsidR="001F1F30" w:rsidRDefault="001F1F30">
            <w:pPr>
              <w:jc w:val="right"/>
              <w:rPr>
                <w:rFonts w:ascii="Arial Narrow" w:hAnsi="Arial Narrow" w:cs="Calibri"/>
                <w:sz w:val="20"/>
                <w:szCs w:val="20"/>
              </w:rPr>
            </w:pPr>
            <w:r>
              <w:rPr>
                <w:rFonts w:ascii="Arial Narrow" w:hAnsi="Arial Narrow" w:cs="Calibri"/>
                <w:sz w:val="20"/>
                <w:szCs w:val="20"/>
              </w:rPr>
              <w:t> </w:t>
            </w:r>
          </w:p>
        </w:tc>
        <w:tc>
          <w:tcPr>
            <w:tcW w:w="2004" w:type="dxa"/>
            <w:tcBorders>
              <w:top w:val="nil"/>
              <w:left w:val="nil"/>
              <w:bottom w:val="nil"/>
              <w:right w:val="nil"/>
            </w:tcBorders>
            <w:shd w:val="clear" w:color="auto" w:fill="auto"/>
            <w:noWrap/>
            <w:hideMark/>
          </w:tcPr>
          <w:p w14:paraId="381933F8"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3,2%</w:t>
            </w:r>
          </w:p>
        </w:tc>
        <w:tc>
          <w:tcPr>
            <w:tcW w:w="2268" w:type="dxa"/>
            <w:tcBorders>
              <w:top w:val="single" w:sz="4" w:space="0" w:color="auto"/>
              <w:left w:val="single" w:sz="4" w:space="0" w:color="auto"/>
              <w:bottom w:val="nil"/>
              <w:right w:val="nil"/>
            </w:tcBorders>
            <w:shd w:val="clear" w:color="auto" w:fill="auto"/>
            <w:noWrap/>
            <w:vAlign w:val="bottom"/>
            <w:hideMark/>
          </w:tcPr>
          <w:p w14:paraId="39EB86AA"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27,4x </w:t>
            </w:r>
          </w:p>
        </w:tc>
        <w:tc>
          <w:tcPr>
            <w:tcW w:w="2409" w:type="dxa"/>
            <w:tcBorders>
              <w:top w:val="single" w:sz="4" w:space="0" w:color="auto"/>
              <w:left w:val="nil"/>
              <w:bottom w:val="nil"/>
              <w:right w:val="nil"/>
            </w:tcBorders>
            <w:shd w:val="clear" w:color="auto" w:fill="auto"/>
            <w:noWrap/>
            <w:vAlign w:val="center"/>
            <w:hideMark/>
          </w:tcPr>
          <w:p w14:paraId="1B99EBDF"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30,3x </w:t>
            </w:r>
          </w:p>
        </w:tc>
        <w:tc>
          <w:tcPr>
            <w:tcW w:w="1579" w:type="dxa"/>
            <w:tcBorders>
              <w:top w:val="single" w:sz="4" w:space="0" w:color="auto"/>
              <w:left w:val="nil"/>
              <w:bottom w:val="nil"/>
              <w:right w:val="single" w:sz="4" w:space="0" w:color="auto"/>
            </w:tcBorders>
            <w:shd w:val="clear" w:color="auto" w:fill="auto"/>
            <w:noWrap/>
            <w:vAlign w:val="center"/>
            <w:hideMark/>
          </w:tcPr>
          <w:p w14:paraId="7AFA81C1"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33,8x </w:t>
            </w:r>
          </w:p>
        </w:tc>
      </w:tr>
      <w:tr w:rsidR="001F1F30" w14:paraId="77CD60A4" w14:textId="77777777" w:rsidTr="001F1F30">
        <w:trPr>
          <w:trHeight w:val="280"/>
        </w:trPr>
        <w:tc>
          <w:tcPr>
            <w:tcW w:w="1276" w:type="dxa"/>
            <w:tcBorders>
              <w:top w:val="nil"/>
              <w:left w:val="nil"/>
              <w:bottom w:val="nil"/>
              <w:right w:val="single" w:sz="4" w:space="0" w:color="auto"/>
            </w:tcBorders>
            <w:shd w:val="clear" w:color="auto" w:fill="auto"/>
            <w:noWrap/>
            <w:vAlign w:val="bottom"/>
            <w:hideMark/>
          </w:tcPr>
          <w:p w14:paraId="7216F0DC" w14:textId="77777777" w:rsidR="001F1F30" w:rsidRDefault="001F1F30">
            <w:pPr>
              <w:jc w:val="right"/>
              <w:rPr>
                <w:rFonts w:ascii="Arial Narrow" w:hAnsi="Arial Narrow" w:cs="Calibri"/>
                <w:i/>
                <w:iCs/>
                <w:sz w:val="20"/>
                <w:szCs w:val="20"/>
              </w:rPr>
            </w:pPr>
            <w:r>
              <w:rPr>
                <w:rFonts w:ascii="Arial Narrow" w:hAnsi="Arial Narrow" w:cs="Calibri"/>
                <w:i/>
                <w:iCs/>
                <w:sz w:val="20"/>
                <w:szCs w:val="20"/>
              </w:rPr>
              <w:t>Disc</w:t>
            </w:r>
          </w:p>
        </w:tc>
        <w:tc>
          <w:tcPr>
            <w:tcW w:w="2004" w:type="dxa"/>
            <w:tcBorders>
              <w:top w:val="nil"/>
              <w:left w:val="nil"/>
              <w:bottom w:val="nil"/>
              <w:right w:val="nil"/>
            </w:tcBorders>
            <w:shd w:val="clear" w:color="auto" w:fill="auto"/>
            <w:noWrap/>
            <w:hideMark/>
          </w:tcPr>
          <w:p w14:paraId="7523128B"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3,7%</w:t>
            </w:r>
          </w:p>
        </w:tc>
        <w:tc>
          <w:tcPr>
            <w:tcW w:w="2268" w:type="dxa"/>
            <w:tcBorders>
              <w:top w:val="nil"/>
              <w:left w:val="single" w:sz="4" w:space="0" w:color="auto"/>
              <w:bottom w:val="nil"/>
              <w:right w:val="nil"/>
            </w:tcBorders>
            <w:shd w:val="clear" w:color="auto" w:fill="auto"/>
            <w:noWrap/>
            <w:vAlign w:val="center"/>
            <w:hideMark/>
          </w:tcPr>
          <w:p w14:paraId="5D8B4A9E"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22,7x </w:t>
            </w:r>
          </w:p>
        </w:tc>
        <w:tc>
          <w:tcPr>
            <w:tcW w:w="2409" w:type="dxa"/>
            <w:tcBorders>
              <w:top w:val="nil"/>
              <w:left w:val="nil"/>
              <w:bottom w:val="nil"/>
              <w:right w:val="nil"/>
            </w:tcBorders>
            <w:shd w:val="clear" w:color="auto" w:fill="auto"/>
            <w:noWrap/>
            <w:vAlign w:val="center"/>
            <w:hideMark/>
          </w:tcPr>
          <w:p w14:paraId="43BA6D6F"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24,6x </w:t>
            </w:r>
          </w:p>
        </w:tc>
        <w:tc>
          <w:tcPr>
            <w:tcW w:w="1579" w:type="dxa"/>
            <w:tcBorders>
              <w:top w:val="nil"/>
              <w:left w:val="nil"/>
              <w:bottom w:val="nil"/>
              <w:right w:val="single" w:sz="4" w:space="0" w:color="auto"/>
            </w:tcBorders>
            <w:shd w:val="clear" w:color="auto" w:fill="auto"/>
            <w:noWrap/>
            <w:vAlign w:val="center"/>
            <w:hideMark/>
          </w:tcPr>
          <w:p w14:paraId="62051397"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26,8x </w:t>
            </w:r>
          </w:p>
        </w:tc>
      </w:tr>
      <w:tr w:rsidR="001F1F30" w14:paraId="1C99B078" w14:textId="77777777" w:rsidTr="001F1F30">
        <w:trPr>
          <w:trHeight w:val="280"/>
        </w:trPr>
        <w:tc>
          <w:tcPr>
            <w:tcW w:w="1276" w:type="dxa"/>
            <w:tcBorders>
              <w:top w:val="nil"/>
              <w:left w:val="nil"/>
              <w:bottom w:val="nil"/>
              <w:right w:val="single" w:sz="4" w:space="0" w:color="auto"/>
            </w:tcBorders>
            <w:shd w:val="clear" w:color="auto" w:fill="auto"/>
            <w:noWrap/>
            <w:vAlign w:val="bottom"/>
            <w:hideMark/>
          </w:tcPr>
          <w:p w14:paraId="1D017D26" w14:textId="77777777" w:rsidR="001F1F30" w:rsidRDefault="001F1F30">
            <w:pPr>
              <w:jc w:val="right"/>
              <w:rPr>
                <w:rFonts w:ascii="Arial Narrow" w:hAnsi="Arial Narrow" w:cs="Calibri"/>
                <w:i/>
                <w:iCs/>
                <w:sz w:val="20"/>
                <w:szCs w:val="20"/>
              </w:rPr>
            </w:pPr>
            <w:r>
              <w:rPr>
                <w:rFonts w:ascii="Arial Narrow" w:hAnsi="Arial Narrow" w:cs="Calibri"/>
                <w:i/>
                <w:iCs/>
                <w:sz w:val="20"/>
                <w:szCs w:val="20"/>
              </w:rPr>
              <w:t>Rate</w:t>
            </w:r>
          </w:p>
        </w:tc>
        <w:tc>
          <w:tcPr>
            <w:tcW w:w="2004" w:type="dxa"/>
            <w:tcBorders>
              <w:top w:val="nil"/>
              <w:left w:val="nil"/>
              <w:bottom w:val="nil"/>
              <w:right w:val="nil"/>
            </w:tcBorders>
            <w:shd w:val="clear" w:color="auto" w:fill="auto"/>
            <w:noWrap/>
            <w:hideMark/>
          </w:tcPr>
          <w:p w14:paraId="5D2AE129"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4,2%</w:t>
            </w:r>
          </w:p>
        </w:tc>
        <w:tc>
          <w:tcPr>
            <w:tcW w:w="2268" w:type="dxa"/>
            <w:tcBorders>
              <w:top w:val="nil"/>
              <w:left w:val="single" w:sz="4" w:space="0" w:color="auto"/>
              <w:right w:val="nil"/>
            </w:tcBorders>
            <w:shd w:val="clear" w:color="auto" w:fill="auto"/>
            <w:noWrap/>
            <w:vAlign w:val="center"/>
            <w:hideMark/>
          </w:tcPr>
          <w:p w14:paraId="510CD13D"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19,5x </w:t>
            </w:r>
          </w:p>
        </w:tc>
        <w:tc>
          <w:tcPr>
            <w:tcW w:w="2409" w:type="dxa"/>
            <w:tcBorders>
              <w:top w:val="nil"/>
              <w:left w:val="nil"/>
              <w:right w:val="nil"/>
            </w:tcBorders>
            <w:shd w:val="clear" w:color="000000" w:fill="B8CCE4"/>
            <w:noWrap/>
            <w:vAlign w:val="center"/>
            <w:hideMark/>
          </w:tcPr>
          <w:p w14:paraId="73C3E7D9" w14:textId="77777777" w:rsidR="001F1F30" w:rsidRDefault="001F1F30" w:rsidP="001F1F30">
            <w:pPr>
              <w:jc w:val="right"/>
              <w:rPr>
                <w:rFonts w:ascii="Arial Narrow" w:hAnsi="Arial Narrow" w:cs="Calibri"/>
                <w:b/>
                <w:bCs/>
                <w:sz w:val="20"/>
                <w:szCs w:val="20"/>
              </w:rPr>
            </w:pPr>
            <w:r>
              <w:rPr>
                <w:rFonts w:ascii="Arial Narrow" w:hAnsi="Arial Narrow" w:cs="Calibri"/>
                <w:b/>
                <w:bCs/>
                <w:sz w:val="20"/>
                <w:szCs w:val="20"/>
              </w:rPr>
              <w:t xml:space="preserve">20,8x </w:t>
            </w:r>
          </w:p>
        </w:tc>
        <w:tc>
          <w:tcPr>
            <w:tcW w:w="1579" w:type="dxa"/>
            <w:tcBorders>
              <w:top w:val="nil"/>
              <w:left w:val="nil"/>
              <w:right w:val="single" w:sz="4" w:space="0" w:color="auto"/>
            </w:tcBorders>
            <w:shd w:val="clear" w:color="auto" w:fill="auto"/>
            <w:noWrap/>
            <w:vAlign w:val="center"/>
            <w:hideMark/>
          </w:tcPr>
          <w:p w14:paraId="3DA2761B"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22,3x </w:t>
            </w:r>
          </w:p>
        </w:tc>
      </w:tr>
      <w:tr w:rsidR="001F1F30" w14:paraId="3E4BDBEA" w14:textId="77777777" w:rsidTr="001F1F30">
        <w:trPr>
          <w:trHeight w:val="280"/>
        </w:trPr>
        <w:tc>
          <w:tcPr>
            <w:tcW w:w="1276" w:type="dxa"/>
            <w:tcBorders>
              <w:top w:val="nil"/>
              <w:left w:val="nil"/>
              <w:right w:val="single" w:sz="4" w:space="0" w:color="auto"/>
            </w:tcBorders>
            <w:shd w:val="clear" w:color="auto" w:fill="auto"/>
            <w:noWrap/>
            <w:vAlign w:val="bottom"/>
            <w:hideMark/>
          </w:tcPr>
          <w:p w14:paraId="4F13AA15" w14:textId="77777777" w:rsidR="001F1F30" w:rsidRDefault="001F1F30">
            <w:pPr>
              <w:jc w:val="right"/>
              <w:rPr>
                <w:rFonts w:ascii="Arial Narrow" w:hAnsi="Arial Narrow" w:cs="Calibri"/>
                <w:sz w:val="20"/>
                <w:szCs w:val="20"/>
              </w:rPr>
            </w:pPr>
            <w:r>
              <w:rPr>
                <w:rFonts w:ascii="Arial Narrow" w:hAnsi="Arial Narrow" w:cs="Calibri"/>
                <w:sz w:val="20"/>
                <w:szCs w:val="20"/>
              </w:rPr>
              <w:t> </w:t>
            </w:r>
          </w:p>
        </w:tc>
        <w:tc>
          <w:tcPr>
            <w:tcW w:w="2004" w:type="dxa"/>
            <w:tcBorders>
              <w:top w:val="nil"/>
              <w:left w:val="nil"/>
              <w:right w:val="nil"/>
            </w:tcBorders>
            <w:shd w:val="clear" w:color="auto" w:fill="auto"/>
            <w:noWrap/>
            <w:hideMark/>
          </w:tcPr>
          <w:p w14:paraId="4070D433"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4,7%</w:t>
            </w:r>
          </w:p>
        </w:tc>
        <w:tc>
          <w:tcPr>
            <w:tcW w:w="2268" w:type="dxa"/>
            <w:tcBorders>
              <w:top w:val="nil"/>
              <w:left w:val="single" w:sz="4" w:space="0" w:color="auto"/>
              <w:bottom w:val="single" w:sz="4" w:space="0" w:color="auto"/>
              <w:right w:val="nil"/>
            </w:tcBorders>
            <w:shd w:val="clear" w:color="auto" w:fill="auto"/>
            <w:noWrap/>
            <w:vAlign w:val="center"/>
            <w:hideMark/>
          </w:tcPr>
          <w:p w14:paraId="438989EF"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16,9x </w:t>
            </w:r>
          </w:p>
        </w:tc>
        <w:tc>
          <w:tcPr>
            <w:tcW w:w="2409" w:type="dxa"/>
            <w:tcBorders>
              <w:top w:val="nil"/>
              <w:left w:val="nil"/>
              <w:bottom w:val="single" w:sz="4" w:space="0" w:color="auto"/>
              <w:right w:val="nil"/>
            </w:tcBorders>
            <w:shd w:val="clear" w:color="auto" w:fill="auto"/>
            <w:noWrap/>
            <w:vAlign w:val="center"/>
            <w:hideMark/>
          </w:tcPr>
          <w:p w14:paraId="0E7D74C3"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17,8x </w:t>
            </w:r>
          </w:p>
        </w:tc>
        <w:tc>
          <w:tcPr>
            <w:tcW w:w="1579" w:type="dxa"/>
            <w:tcBorders>
              <w:top w:val="nil"/>
              <w:left w:val="nil"/>
              <w:bottom w:val="single" w:sz="4" w:space="0" w:color="auto"/>
              <w:right w:val="single" w:sz="4" w:space="0" w:color="auto"/>
            </w:tcBorders>
            <w:shd w:val="clear" w:color="auto" w:fill="auto"/>
            <w:noWrap/>
            <w:vAlign w:val="center"/>
            <w:hideMark/>
          </w:tcPr>
          <w:p w14:paraId="7DF515A2" w14:textId="77777777" w:rsidR="001F1F30" w:rsidRDefault="001F1F30" w:rsidP="001F1F30">
            <w:pPr>
              <w:jc w:val="right"/>
              <w:rPr>
                <w:rFonts w:ascii="Arial Narrow" w:hAnsi="Arial Narrow" w:cs="Calibri"/>
                <w:sz w:val="20"/>
                <w:szCs w:val="20"/>
              </w:rPr>
            </w:pPr>
            <w:r>
              <w:rPr>
                <w:rFonts w:ascii="Arial Narrow" w:hAnsi="Arial Narrow" w:cs="Calibri"/>
                <w:sz w:val="20"/>
                <w:szCs w:val="20"/>
              </w:rPr>
              <w:t xml:space="preserve">18,9x </w:t>
            </w:r>
          </w:p>
        </w:tc>
      </w:tr>
      <w:tr w:rsidR="001F1F30" w14:paraId="0A52BB80" w14:textId="77777777" w:rsidTr="001F1F30">
        <w:trPr>
          <w:trHeight w:val="280"/>
        </w:trPr>
        <w:tc>
          <w:tcPr>
            <w:tcW w:w="1276" w:type="dxa"/>
            <w:tcBorders>
              <w:top w:val="nil"/>
              <w:left w:val="nil"/>
            </w:tcBorders>
            <w:shd w:val="clear" w:color="auto" w:fill="auto"/>
            <w:noWrap/>
            <w:vAlign w:val="bottom"/>
          </w:tcPr>
          <w:p w14:paraId="7F4087C8" w14:textId="77777777" w:rsidR="001F1F30" w:rsidRDefault="001F1F30">
            <w:pPr>
              <w:jc w:val="right"/>
              <w:rPr>
                <w:rFonts w:ascii="Arial Narrow" w:hAnsi="Arial Narrow" w:cs="Calibri"/>
                <w:sz w:val="20"/>
                <w:szCs w:val="20"/>
              </w:rPr>
            </w:pPr>
          </w:p>
        </w:tc>
        <w:tc>
          <w:tcPr>
            <w:tcW w:w="2004" w:type="dxa"/>
            <w:tcBorders>
              <w:top w:val="nil"/>
            </w:tcBorders>
            <w:shd w:val="clear" w:color="auto" w:fill="auto"/>
            <w:noWrap/>
          </w:tcPr>
          <w:p w14:paraId="69A5F372" w14:textId="77777777" w:rsidR="001F1F30" w:rsidRDefault="001F1F30">
            <w:pPr>
              <w:jc w:val="center"/>
              <w:rPr>
                <w:rFonts w:ascii="Arial Narrow" w:hAnsi="Arial Narrow" w:cs="Calibri"/>
                <w:b/>
                <w:bCs/>
                <w:sz w:val="20"/>
                <w:szCs w:val="20"/>
              </w:rPr>
            </w:pPr>
          </w:p>
        </w:tc>
        <w:tc>
          <w:tcPr>
            <w:tcW w:w="2268" w:type="dxa"/>
            <w:tcBorders>
              <w:top w:val="single" w:sz="4" w:space="0" w:color="auto"/>
            </w:tcBorders>
            <w:shd w:val="clear" w:color="auto" w:fill="auto"/>
            <w:noWrap/>
            <w:vAlign w:val="center"/>
          </w:tcPr>
          <w:p w14:paraId="1E795CEB" w14:textId="77777777" w:rsidR="001F1F30" w:rsidRDefault="001F1F30">
            <w:pPr>
              <w:jc w:val="center"/>
              <w:rPr>
                <w:rFonts w:ascii="Arial Narrow" w:hAnsi="Arial Narrow" w:cs="Calibri"/>
                <w:sz w:val="20"/>
                <w:szCs w:val="20"/>
              </w:rPr>
            </w:pPr>
          </w:p>
        </w:tc>
        <w:tc>
          <w:tcPr>
            <w:tcW w:w="2409" w:type="dxa"/>
            <w:tcBorders>
              <w:top w:val="single" w:sz="4" w:space="0" w:color="auto"/>
            </w:tcBorders>
            <w:shd w:val="clear" w:color="auto" w:fill="auto"/>
            <w:noWrap/>
            <w:vAlign w:val="center"/>
          </w:tcPr>
          <w:p w14:paraId="30EE6A8E" w14:textId="77777777" w:rsidR="001F1F30" w:rsidRDefault="001F1F30" w:rsidP="001F1F30">
            <w:pPr>
              <w:jc w:val="right"/>
              <w:rPr>
                <w:rFonts w:ascii="Arial Narrow" w:hAnsi="Arial Narrow" w:cs="Calibri"/>
                <w:sz w:val="20"/>
                <w:szCs w:val="20"/>
              </w:rPr>
            </w:pPr>
          </w:p>
        </w:tc>
        <w:tc>
          <w:tcPr>
            <w:tcW w:w="1579" w:type="dxa"/>
            <w:tcBorders>
              <w:top w:val="single" w:sz="4" w:space="0" w:color="auto"/>
            </w:tcBorders>
            <w:shd w:val="clear" w:color="auto" w:fill="auto"/>
            <w:noWrap/>
            <w:vAlign w:val="center"/>
          </w:tcPr>
          <w:p w14:paraId="457A927E" w14:textId="77777777" w:rsidR="001F1F30" w:rsidRDefault="001F1F30">
            <w:pPr>
              <w:jc w:val="center"/>
              <w:rPr>
                <w:rFonts w:ascii="Arial Narrow" w:hAnsi="Arial Narrow" w:cs="Calibri"/>
                <w:sz w:val="20"/>
                <w:szCs w:val="20"/>
              </w:rPr>
            </w:pPr>
          </w:p>
        </w:tc>
      </w:tr>
      <w:tr w:rsidR="001F1F30" w14:paraId="66B7C6E7" w14:textId="77777777" w:rsidTr="001F1F30">
        <w:trPr>
          <w:trHeight w:val="280"/>
        </w:trPr>
        <w:tc>
          <w:tcPr>
            <w:tcW w:w="9536" w:type="dxa"/>
            <w:gridSpan w:val="5"/>
            <w:tcBorders>
              <w:top w:val="nil"/>
              <w:left w:val="nil"/>
              <w:bottom w:val="nil"/>
              <w:right w:val="nil"/>
            </w:tcBorders>
            <w:shd w:val="clear" w:color="000000" w:fill="1F497D"/>
            <w:noWrap/>
            <w:vAlign w:val="bottom"/>
            <w:hideMark/>
          </w:tcPr>
          <w:p w14:paraId="22EFDB2B" w14:textId="77777777" w:rsidR="001F1F30" w:rsidRDefault="001F1F30">
            <w:pPr>
              <w:jc w:val="center"/>
              <w:rPr>
                <w:rFonts w:ascii="Arial Narrow" w:hAnsi="Arial Narrow" w:cs="Calibri"/>
                <w:b/>
                <w:bCs/>
                <w:color w:val="FFFFFF"/>
                <w:sz w:val="20"/>
                <w:szCs w:val="20"/>
              </w:rPr>
            </w:pPr>
            <w:r>
              <w:rPr>
                <w:rFonts w:ascii="Arial Narrow" w:hAnsi="Arial Narrow" w:cs="Calibri"/>
                <w:b/>
                <w:bCs/>
                <w:color w:val="FFFFFF"/>
                <w:sz w:val="20"/>
                <w:szCs w:val="20"/>
              </w:rPr>
              <w:t xml:space="preserve">Share Price Sensitivity </w:t>
            </w:r>
          </w:p>
        </w:tc>
      </w:tr>
      <w:tr w:rsidR="001F1F30" w14:paraId="4D178FBA" w14:textId="77777777" w:rsidTr="001F1F30">
        <w:trPr>
          <w:trHeight w:val="280"/>
        </w:trPr>
        <w:tc>
          <w:tcPr>
            <w:tcW w:w="1276" w:type="dxa"/>
            <w:tcBorders>
              <w:top w:val="nil"/>
              <w:left w:val="nil"/>
              <w:bottom w:val="nil"/>
              <w:right w:val="nil"/>
            </w:tcBorders>
            <w:shd w:val="clear" w:color="auto" w:fill="auto"/>
            <w:noWrap/>
            <w:vAlign w:val="bottom"/>
            <w:hideMark/>
          </w:tcPr>
          <w:p w14:paraId="3356744B" w14:textId="77777777" w:rsidR="001F1F30" w:rsidRDefault="001F1F30">
            <w:pPr>
              <w:jc w:val="center"/>
              <w:rPr>
                <w:rFonts w:ascii="Arial Narrow" w:hAnsi="Arial Narrow" w:cs="Calibri"/>
                <w:b/>
                <w:bCs/>
                <w:color w:val="FFFFFF"/>
                <w:sz w:val="20"/>
                <w:szCs w:val="20"/>
              </w:rPr>
            </w:pPr>
          </w:p>
        </w:tc>
        <w:tc>
          <w:tcPr>
            <w:tcW w:w="2004" w:type="dxa"/>
            <w:tcBorders>
              <w:top w:val="nil"/>
              <w:left w:val="nil"/>
              <w:bottom w:val="nil"/>
              <w:right w:val="nil"/>
            </w:tcBorders>
            <w:shd w:val="clear" w:color="auto" w:fill="auto"/>
            <w:noWrap/>
            <w:vAlign w:val="bottom"/>
            <w:hideMark/>
          </w:tcPr>
          <w:p w14:paraId="16B83C10" w14:textId="77777777" w:rsidR="001F1F30" w:rsidRDefault="001F1F30">
            <w:pPr>
              <w:rPr>
                <w:sz w:val="20"/>
                <w:szCs w:val="20"/>
              </w:rPr>
            </w:pPr>
          </w:p>
        </w:tc>
        <w:tc>
          <w:tcPr>
            <w:tcW w:w="6256" w:type="dxa"/>
            <w:gridSpan w:val="3"/>
            <w:tcBorders>
              <w:top w:val="nil"/>
              <w:left w:val="nil"/>
              <w:bottom w:val="single" w:sz="4" w:space="0" w:color="auto"/>
              <w:right w:val="nil"/>
            </w:tcBorders>
            <w:shd w:val="clear" w:color="auto" w:fill="auto"/>
            <w:noWrap/>
            <w:vAlign w:val="bottom"/>
            <w:hideMark/>
          </w:tcPr>
          <w:p w14:paraId="34E4EAFC" w14:textId="77777777" w:rsidR="001F1F30" w:rsidRDefault="001F1F30">
            <w:pPr>
              <w:jc w:val="center"/>
              <w:rPr>
                <w:rFonts w:ascii="Arial Narrow" w:hAnsi="Arial Narrow" w:cs="Calibri"/>
                <w:i/>
                <w:iCs/>
                <w:sz w:val="20"/>
                <w:szCs w:val="20"/>
              </w:rPr>
            </w:pPr>
            <w:r>
              <w:rPr>
                <w:rFonts w:ascii="Arial Narrow" w:hAnsi="Arial Narrow" w:cs="Calibri"/>
                <w:i/>
                <w:iCs/>
                <w:sz w:val="20"/>
                <w:szCs w:val="20"/>
              </w:rPr>
              <w:t>Exit Multiple in FY2018</w:t>
            </w:r>
          </w:p>
        </w:tc>
      </w:tr>
      <w:tr w:rsidR="001F1F30" w14:paraId="1B2028A2" w14:textId="77777777" w:rsidTr="001F1F30">
        <w:trPr>
          <w:trHeight w:val="280"/>
        </w:trPr>
        <w:tc>
          <w:tcPr>
            <w:tcW w:w="1276" w:type="dxa"/>
            <w:tcBorders>
              <w:top w:val="nil"/>
              <w:left w:val="nil"/>
              <w:bottom w:val="nil"/>
              <w:right w:val="nil"/>
            </w:tcBorders>
            <w:shd w:val="clear" w:color="auto" w:fill="auto"/>
            <w:noWrap/>
            <w:vAlign w:val="bottom"/>
            <w:hideMark/>
          </w:tcPr>
          <w:p w14:paraId="1BF1A5AB" w14:textId="77777777" w:rsidR="001F1F30" w:rsidRDefault="001F1F30">
            <w:pPr>
              <w:jc w:val="center"/>
              <w:rPr>
                <w:rFonts w:ascii="Arial Narrow" w:hAnsi="Arial Narrow" w:cs="Calibri"/>
                <w:i/>
                <w:iCs/>
                <w:sz w:val="20"/>
                <w:szCs w:val="20"/>
              </w:rPr>
            </w:pPr>
          </w:p>
        </w:tc>
        <w:tc>
          <w:tcPr>
            <w:tcW w:w="2004" w:type="dxa"/>
            <w:tcBorders>
              <w:top w:val="nil"/>
              <w:left w:val="nil"/>
              <w:bottom w:val="nil"/>
              <w:right w:val="nil"/>
            </w:tcBorders>
            <w:shd w:val="clear" w:color="auto" w:fill="auto"/>
            <w:noWrap/>
            <w:hideMark/>
          </w:tcPr>
          <w:p w14:paraId="206D5575" w14:textId="77777777" w:rsidR="001F1F30" w:rsidRDefault="001F1F30">
            <w:pPr>
              <w:rPr>
                <w:sz w:val="20"/>
                <w:szCs w:val="20"/>
              </w:rPr>
            </w:pPr>
          </w:p>
        </w:tc>
        <w:tc>
          <w:tcPr>
            <w:tcW w:w="2268" w:type="dxa"/>
            <w:tcBorders>
              <w:top w:val="nil"/>
              <w:left w:val="nil"/>
              <w:bottom w:val="nil"/>
              <w:right w:val="nil"/>
            </w:tcBorders>
            <w:shd w:val="clear" w:color="auto" w:fill="auto"/>
            <w:noWrap/>
            <w:hideMark/>
          </w:tcPr>
          <w:p w14:paraId="1D743628"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 xml:space="preserve">9,4x </w:t>
            </w:r>
          </w:p>
        </w:tc>
        <w:tc>
          <w:tcPr>
            <w:tcW w:w="2390" w:type="dxa"/>
            <w:tcBorders>
              <w:top w:val="nil"/>
              <w:left w:val="nil"/>
              <w:bottom w:val="nil"/>
              <w:right w:val="nil"/>
            </w:tcBorders>
            <w:shd w:val="clear" w:color="auto" w:fill="auto"/>
            <w:noWrap/>
            <w:hideMark/>
          </w:tcPr>
          <w:p w14:paraId="0E4E6F68"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 xml:space="preserve">10,4x </w:t>
            </w:r>
          </w:p>
        </w:tc>
        <w:tc>
          <w:tcPr>
            <w:tcW w:w="1598" w:type="dxa"/>
            <w:tcBorders>
              <w:top w:val="nil"/>
              <w:left w:val="nil"/>
              <w:bottom w:val="nil"/>
              <w:right w:val="nil"/>
            </w:tcBorders>
            <w:shd w:val="clear" w:color="auto" w:fill="auto"/>
            <w:noWrap/>
            <w:hideMark/>
          </w:tcPr>
          <w:p w14:paraId="72149835"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 xml:space="preserve">11,4x </w:t>
            </w:r>
          </w:p>
        </w:tc>
      </w:tr>
      <w:tr w:rsidR="001F1F30" w14:paraId="6F8AEE6F" w14:textId="77777777" w:rsidTr="001F1F30">
        <w:trPr>
          <w:trHeight w:val="280"/>
        </w:trPr>
        <w:tc>
          <w:tcPr>
            <w:tcW w:w="1276" w:type="dxa"/>
            <w:tcBorders>
              <w:top w:val="nil"/>
              <w:left w:val="nil"/>
              <w:bottom w:val="nil"/>
              <w:right w:val="single" w:sz="4" w:space="0" w:color="auto"/>
            </w:tcBorders>
            <w:shd w:val="clear" w:color="auto" w:fill="auto"/>
            <w:noWrap/>
            <w:vAlign w:val="bottom"/>
            <w:hideMark/>
          </w:tcPr>
          <w:p w14:paraId="3BC3A099" w14:textId="77777777" w:rsidR="001F1F30" w:rsidRDefault="001F1F30">
            <w:pPr>
              <w:jc w:val="right"/>
              <w:rPr>
                <w:rFonts w:ascii="Arial Narrow" w:hAnsi="Arial Narrow" w:cs="Calibri"/>
                <w:sz w:val="20"/>
                <w:szCs w:val="20"/>
              </w:rPr>
            </w:pPr>
            <w:r>
              <w:rPr>
                <w:rFonts w:ascii="Arial Narrow" w:hAnsi="Arial Narrow" w:cs="Calibri"/>
                <w:sz w:val="20"/>
                <w:szCs w:val="20"/>
              </w:rPr>
              <w:t> </w:t>
            </w:r>
          </w:p>
        </w:tc>
        <w:tc>
          <w:tcPr>
            <w:tcW w:w="2004" w:type="dxa"/>
            <w:tcBorders>
              <w:top w:val="nil"/>
              <w:left w:val="nil"/>
              <w:bottom w:val="nil"/>
              <w:right w:val="nil"/>
            </w:tcBorders>
            <w:shd w:val="clear" w:color="auto" w:fill="auto"/>
            <w:noWrap/>
            <w:hideMark/>
          </w:tcPr>
          <w:p w14:paraId="5AF4EDF0"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3,20%</w:t>
            </w:r>
          </w:p>
        </w:tc>
        <w:tc>
          <w:tcPr>
            <w:tcW w:w="2268" w:type="dxa"/>
            <w:tcBorders>
              <w:top w:val="single" w:sz="4" w:space="0" w:color="auto"/>
              <w:left w:val="single" w:sz="4" w:space="0" w:color="auto"/>
              <w:bottom w:val="nil"/>
              <w:right w:val="nil"/>
            </w:tcBorders>
            <w:shd w:val="clear" w:color="auto" w:fill="auto"/>
            <w:noWrap/>
            <w:vAlign w:val="center"/>
            <w:hideMark/>
          </w:tcPr>
          <w:p w14:paraId="015900A9" w14:textId="77777777" w:rsidR="001F1F30" w:rsidRDefault="001F1F30">
            <w:pPr>
              <w:jc w:val="right"/>
              <w:rPr>
                <w:rFonts w:ascii="Arial Narrow" w:hAnsi="Arial Narrow" w:cs="Calibri"/>
                <w:sz w:val="20"/>
                <w:szCs w:val="20"/>
              </w:rPr>
            </w:pPr>
            <w:r>
              <w:rPr>
                <w:rFonts w:ascii="Arial Narrow" w:hAnsi="Arial Narrow" w:cs="Calibri"/>
                <w:sz w:val="20"/>
                <w:szCs w:val="20"/>
              </w:rPr>
              <w:t xml:space="preserve">$78,54 </w:t>
            </w:r>
          </w:p>
        </w:tc>
        <w:tc>
          <w:tcPr>
            <w:tcW w:w="2390" w:type="dxa"/>
            <w:tcBorders>
              <w:top w:val="single" w:sz="4" w:space="0" w:color="auto"/>
              <w:left w:val="nil"/>
              <w:bottom w:val="nil"/>
              <w:right w:val="nil"/>
            </w:tcBorders>
            <w:shd w:val="clear" w:color="auto" w:fill="auto"/>
            <w:noWrap/>
            <w:vAlign w:val="center"/>
            <w:hideMark/>
          </w:tcPr>
          <w:p w14:paraId="4E7AF928" w14:textId="77777777" w:rsidR="001F1F30" w:rsidRDefault="001F1F30">
            <w:pPr>
              <w:jc w:val="right"/>
              <w:rPr>
                <w:rFonts w:ascii="Arial Narrow" w:hAnsi="Arial Narrow" w:cs="Calibri"/>
                <w:sz w:val="20"/>
                <w:szCs w:val="20"/>
              </w:rPr>
            </w:pPr>
            <w:r>
              <w:rPr>
                <w:rFonts w:ascii="Arial Narrow" w:hAnsi="Arial Narrow" w:cs="Calibri"/>
                <w:sz w:val="20"/>
                <w:szCs w:val="20"/>
              </w:rPr>
              <w:t xml:space="preserve">$85,92 </w:t>
            </w:r>
          </w:p>
        </w:tc>
        <w:tc>
          <w:tcPr>
            <w:tcW w:w="1598" w:type="dxa"/>
            <w:tcBorders>
              <w:top w:val="single" w:sz="4" w:space="0" w:color="auto"/>
              <w:left w:val="nil"/>
              <w:bottom w:val="nil"/>
              <w:right w:val="single" w:sz="4" w:space="0" w:color="auto"/>
            </w:tcBorders>
            <w:shd w:val="clear" w:color="auto" w:fill="auto"/>
            <w:noWrap/>
            <w:vAlign w:val="center"/>
            <w:hideMark/>
          </w:tcPr>
          <w:p w14:paraId="5EB5625A" w14:textId="77777777" w:rsidR="001F1F30" w:rsidRDefault="001F1F30">
            <w:pPr>
              <w:jc w:val="right"/>
              <w:rPr>
                <w:rFonts w:ascii="Arial Narrow" w:hAnsi="Arial Narrow" w:cs="Calibri"/>
                <w:sz w:val="20"/>
                <w:szCs w:val="20"/>
              </w:rPr>
            </w:pPr>
            <w:r>
              <w:rPr>
                <w:rFonts w:ascii="Arial Narrow" w:hAnsi="Arial Narrow" w:cs="Calibri"/>
                <w:sz w:val="20"/>
                <w:szCs w:val="20"/>
              </w:rPr>
              <w:t xml:space="preserve">$93,29 </w:t>
            </w:r>
          </w:p>
        </w:tc>
      </w:tr>
      <w:tr w:rsidR="001F1F30" w14:paraId="2DFD800A" w14:textId="77777777" w:rsidTr="001F1F30">
        <w:trPr>
          <w:trHeight w:val="280"/>
        </w:trPr>
        <w:tc>
          <w:tcPr>
            <w:tcW w:w="1276" w:type="dxa"/>
            <w:tcBorders>
              <w:top w:val="nil"/>
              <w:left w:val="nil"/>
              <w:bottom w:val="nil"/>
              <w:right w:val="single" w:sz="4" w:space="0" w:color="auto"/>
            </w:tcBorders>
            <w:shd w:val="clear" w:color="auto" w:fill="auto"/>
            <w:noWrap/>
            <w:vAlign w:val="bottom"/>
            <w:hideMark/>
          </w:tcPr>
          <w:p w14:paraId="3FEA0D10" w14:textId="77777777" w:rsidR="001F1F30" w:rsidRDefault="001F1F30">
            <w:pPr>
              <w:jc w:val="right"/>
              <w:rPr>
                <w:rFonts w:ascii="Arial Narrow" w:hAnsi="Arial Narrow" w:cs="Calibri"/>
                <w:i/>
                <w:iCs/>
                <w:sz w:val="20"/>
                <w:szCs w:val="20"/>
              </w:rPr>
            </w:pPr>
            <w:r>
              <w:rPr>
                <w:rFonts w:ascii="Arial Narrow" w:hAnsi="Arial Narrow" w:cs="Calibri"/>
                <w:i/>
                <w:iCs/>
                <w:sz w:val="20"/>
                <w:szCs w:val="20"/>
              </w:rPr>
              <w:t>Disc</w:t>
            </w:r>
          </w:p>
        </w:tc>
        <w:tc>
          <w:tcPr>
            <w:tcW w:w="2004" w:type="dxa"/>
            <w:tcBorders>
              <w:top w:val="nil"/>
              <w:left w:val="nil"/>
              <w:bottom w:val="nil"/>
              <w:right w:val="nil"/>
            </w:tcBorders>
            <w:shd w:val="clear" w:color="auto" w:fill="auto"/>
            <w:noWrap/>
            <w:hideMark/>
          </w:tcPr>
          <w:p w14:paraId="1103F8A8"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3,70%</w:t>
            </w:r>
          </w:p>
        </w:tc>
        <w:tc>
          <w:tcPr>
            <w:tcW w:w="2268" w:type="dxa"/>
            <w:tcBorders>
              <w:top w:val="nil"/>
              <w:left w:val="single" w:sz="4" w:space="0" w:color="auto"/>
              <w:bottom w:val="nil"/>
              <w:right w:val="nil"/>
            </w:tcBorders>
            <w:shd w:val="clear" w:color="auto" w:fill="auto"/>
            <w:noWrap/>
            <w:vAlign w:val="center"/>
            <w:hideMark/>
          </w:tcPr>
          <w:p w14:paraId="6066F057" w14:textId="77777777" w:rsidR="001F1F30" w:rsidRDefault="001F1F30">
            <w:pPr>
              <w:jc w:val="right"/>
              <w:rPr>
                <w:rFonts w:ascii="Arial Narrow" w:hAnsi="Arial Narrow" w:cs="Calibri"/>
                <w:sz w:val="20"/>
                <w:szCs w:val="20"/>
              </w:rPr>
            </w:pPr>
            <w:r>
              <w:rPr>
                <w:rFonts w:ascii="Arial Narrow" w:hAnsi="Arial Narrow" w:cs="Calibri"/>
                <w:sz w:val="20"/>
                <w:szCs w:val="20"/>
              </w:rPr>
              <w:t>76,89</w:t>
            </w:r>
          </w:p>
        </w:tc>
        <w:tc>
          <w:tcPr>
            <w:tcW w:w="2390" w:type="dxa"/>
            <w:tcBorders>
              <w:top w:val="nil"/>
              <w:left w:val="nil"/>
              <w:bottom w:val="nil"/>
              <w:right w:val="nil"/>
            </w:tcBorders>
            <w:shd w:val="clear" w:color="auto" w:fill="auto"/>
            <w:noWrap/>
            <w:vAlign w:val="center"/>
            <w:hideMark/>
          </w:tcPr>
          <w:p w14:paraId="681F12FE" w14:textId="77777777" w:rsidR="001F1F30" w:rsidRDefault="001F1F30">
            <w:pPr>
              <w:jc w:val="right"/>
              <w:rPr>
                <w:rFonts w:ascii="Arial Narrow" w:hAnsi="Arial Narrow" w:cs="Calibri"/>
                <w:sz w:val="20"/>
                <w:szCs w:val="20"/>
              </w:rPr>
            </w:pPr>
            <w:r>
              <w:rPr>
                <w:rFonts w:ascii="Arial Narrow" w:hAnsi="Arial Narrow" w:cs="Calibri"/>
                <w:sz w:val="20"/>
                <w:szCs w:val="20"/>
              </w:rPr>
              <w:t>84,08</w:t>
            </w:r>
          </w:p>
        </w:tc>
        <w:tc>
          <w:tcPr>
            <w:tcW w:w="1598" w:type="dxa"/>
            <w:tcBorders>
              <w:top w:val="nil"/>
              <w:left w:val="nil"/>
              <w:bottom w:val="nil"/>
              <w:right w:val="single" w:sz="4" w:space="0" w:color="auto"/>
            </w:tcBorders>
            <w:shd w:val="clear" w:color="auto" w:fill="auto"/>
            <w:noWrap/>
            <w:vAlign w:val="center"/>
            <w:hideMark/>
          </w:tcPr>
          <w:p w14:paraId="0B288EDE" w14:textId="77777777" w:rsidR="001F1F30" w:rsidRDefault="001F1F30">
            <w:pPr>
              <w:jc w:val="right"/>
              <w:rPr>
                <w:rFonts w:ascii="Arial Narrow" w:hAnsi="Arial Narrow" w:cs="Calibri"/>
                <w:sz w:val="20"/>
                <w:szCs w:val="20"/>
              </w:rPr>
            </w:pPr>
            <w:r>
              <w:rPr>
                <w:rFonts w:ascii="Arial Narrow" w:hAnsi="Arial Narrow" w:cs="Calibri"/>
                <w:sz w:val="20"/>
                <w:szCs w:val="20"/>
              </w:rPr>
              <w:t>91,28</w:t>
            </w:r>
          </w:p>
        </w:tc>
      </w:tr>
      <w:tr w:rsidR="001F1F30" w14:paraId="23BF1C8A" w14:textId="77777777" w:rsidTr="001F1F30">
        <w:trPr>
          <w:trHeight w:val="280"/>
        </w:trPr>
        <w:tc>
          <w:tcPr>
            <w:tcW w:w="1276" w:type="dxa"/>
            <w:tcBorders>
              <w:top w:val="nil"/>
              <w:left w:val="nil"/>
              <w:bottom w:val="nil"/>
              <w:right w:val="single" w:sz="4" w:space="0" w:color="auto"/>
            </w:tcBorders>
            <w:shd w:val="clear" w:color="auto" w:fill="auto"/>
            <w:noWrap/>
            <w:vAlign w:val="bottom"/>
            <w:hideMark/>
          </w:tcPr>
          <w:p w14:paraId="7125CB9C" w14:textId="77777777" w:rsidR="001F1F30" w:rsidRDefault="001F1F30">
            <w:pPr>
              <w:jc w:val="right"/>
              <w:rPr>
                <w:rFonts w:ascii="Arial Narrow" w:hAnsi="Arial Narrow" w:cs="Calibri"/>
                <w:i/>
                <w:iCs/>
                <w:sz w:val="20"/>
                <w:szCs w:val="20"/>
              </w:rPr>
            </w:pPr>
            <w:r>
              <w:rPr>
                <w:rFonts w:ascii="Arial Narrow" w:hAnsi="Arial Narrow" w:cs="Calibri"/>
                <w:i/>
                <w:iCs/>
                <w:sz w:val="20"/>
                <w:szCs w:val="20"/>
              </w:rPr>
              <w:t>Rate</w:t>
            </w:r>
          </w:p>
        </w:tc>
        <w:tc>
          <w:tcPr>
            <w:tcW w:w="2004" w:type="dxa"/>
            <w:tcBorders>
              <w:top w:val="nil"/>
              <w:left w:val="nil"/>
              <w:bottom w:val="nil"/>
              <w:right w:val="nil"/>
            </w:tcBorders>
            <w:shd w:val="clear" w:color="auto" w:fill="auto"/>
            <w:noWrap/>
            <w:hideMark/>
          </w:tcPr>
          <w:p w14:paraId="5201008E"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4,18%</w:t>
            </w:r>
          </w:p>
        </w:tc>
        <w:tc>
          <w:tcPr>
            <w:tcW w:w="2268" w:type="dxa"/>
            <w:tcBorders>
              <w:top w:val="nil"/>
              <w:left w:val="single" w:sz="4" w:space="0" w:color="auto"/>
              <w:bottom w:val="nil"/>
              <w:right w:val="nil"/>
            </w:tcBorders>
            <w:shd w:val="clear" w:color="auto" w:fill="auto"/>
            <w:noWrap/>
            <w:vAlign w:val="center"/>
            <w:hideMark/>
          </w:tcPr>
          <w:p w14:paraId="0B7F1C2F" w14:textId="77777777" w:rsidR="001F1F30" w:rsidRDefault="001F1F30">
            <w:pPr>
              <w:jc w:val="right"/>
              <w:rPr>
                <w:rFonts w:ascii="Arial Narrow" w:hAnsi="Arial Narrow" w:cs="Calibri"/>
                <w:sz w:val="20"/>
                <w:szCs w:val="20"/>
              </w:rPr>
            </w:pPr>
            <w:r>
              <w:rPr>
                <w:rFonts w:ascii="Arial Narrow" w:hAnsi="Arial Narrow" w:cs="Calibri"/>
                <w:sz w:val="20"/>
                <w:szCs w:val="20"/>
              </w:rPr>
              <w:t>75,34</w:t>
            </w:r>
          </w:p>
        </w:tc>
        <w:tc>
          <w:tcPr>
            <w:tcW w:w="2390" w:type="dxa"/>
            <w:tcBorders>
              <w:top w:val="nil"/>
              <w:left w:val="nil"/>
              <w:bottom w:val="nil"/>
              <w:right w:val="nil"/>
            </w:tcBorders>
            <w:shd w:val="clear" w:color="000000" w:fill="B8CCE4"/>
            <w:noWrap/>
            <w:vAlign w:val="center"/>
            <w:hideMark/>
          </w:tcPr>
          <w:p w14:paraId="2668ED53" w14:textId="77777777" w:rsidR="001F1F30" w:rsidRDefault="001F1F30">
            <w:pPr>
              <w:jc w:val="right"/>
              <w:rPr>
                <w:rFonts w:ascii="Arial Narrow" w:hAnsi="Arial Narrow" w:cs="Calibri"/>
                <w:b/>
                <w:bCs/>
                <w:sz w:val="20"/>
                <w:szCs w:val="20"/>
              </w:rPr>
            </w:pPr>
            <w:r>
              <w:rPr>
                <w:rFonts w:ascii="Arial Narrow" w:hAnsi="Arial Narrow" w:cs="Calibri"/>
                <w:b/>
                <w:bCs/>
                <w:sz w:val="20"/>
                <w:szCs w:val="20"/>
              </w:rPr>
              <w:t>82,37</w:t>
            </w:r>
          </w:p>
        </w:tc>
        <w:tc>
          <w:tcPr>
            <w:tcW w:w="1598" w:type="dxa"/>
            <w:tcBorders>
              <w:top w:val="nil"/>
              <w:left w:val="nil"/>
              <w:bottom w:val="nil"/>
              <w:right w:val="single" w:sz="4" w:space="0" w:color="auto"/>
            </w:tcBorders>
            <w:shd w:val="clear" w:color="auto" w:fill="auto"/>
            <w:noWrap/>
            <w:vAlign w:val="center"/>
            <w:hideMark/>
          </w:tcPr>
          <w:p w14:paraId="2265501D" w14:textId="77777777" w:rsidR="001F1F30" w:rsidRDefault="001F1F30">
            <w:pPr>
              <w:jc w:val="right"/>
              <w:rPr>
                <w:rFonts w:ascii="Arial Narrow" w:hAnsi="Arial Narrow" w:cs="Calibri"/>
                <w:sz w:val="20"/>
                <w:szCs w:val="20"/>
              </w:rPr>
            </w:pPr>
            <w:r>
              <w:rPr>
                <w:rFonts w:ascii="Arial Narrow" w:hAnsi="Arial Narrow" w:cs="Calibri"/>
                <w:sz w:val="20"/>
                <w:szCs w:val="20"/>
              </w:rPr>
              <w:t>89,40</w:t>
            </w:r>
          </w:p>
        </w:tc>
      </w:tr>
      <w:tr w:rsidR="001F1F30" w14:paraId="2DA5DF83" w14:textId="77777777" w:rsidTr="001F1F30">
        <w:trPr>
          <w:trHeight w:val="280"/>
        </w:trPr>
        <w:tc>
          <w:tcPr>
            <w:tcW w:w="1276" w:type="dxa"/>
            <w:tcBorders>
              <w:top w:val="nil"/>
              <w:left w:val="nil"/>
              <w:bottom w:val="nil"/>
              <w:right w:val="single" w:sz="4" w:space="0" w:color="auto"/>
            </w:tcBorders>
            <w:shd w:val="clear" w:color="auto" w:fill="auto"/>
            <w:noWrap/>
            <w:vAlign w:val="bottom"/>
            <w:hideMark/>
          </w:tcPr>
          <w:p w14:paraId="75B68FDA" w14:textId="77777777" w:rsidR="001F1F30" w:rsidRDefault="001F1F30">
            <w:pPr>
              <w:jc w:val="right"/>
              <w:rPr>
                <w:rFonts w:ascii="Arial Narrow" w:hAnsi="Arial Narrow" w:cs="Calibri"/>
                <w:sz w:val="20"/>
                <w:szCs w:val="20"/>
              </w:rPr>
            </w:pPr>
            <w:r>
              <w:rPr>
                <w:rFonts w:ascii="Arial Narrow" w:hAnsi="Arial Narrow" w:cs="Calibri"/>
                <w:sz w:val="20"/>
                <w:szCs w:val="20"/>
              </w:rPr>
              <w:t> </w:t>
            </w:r>
          </w:p>
        </w:tc>
        <w:tc>
          <w:tcPr>
            <w:tcW w:w="2004" w:type="dxa"/>
            <w:tcBorders>
              <w:top w:val="nil"/>
              <w:left w:val="nil"/>
              <w:bottom w:val="nil"/>
              <w:right w:val="nil"/>
            </w:tcBorders>
            <w:shd w:val="clear" w:color="auto" w:fill="auto"/>
            <w:noWrap/>
            <w:hideMark/>
          </w:tcPr>
          <w:p w14:paraId="77B9A776" w14:textId="77777777" w:rsidR="001F1F30" w:rsidRDefault="001F1F30">
            <w:pPr>
              <w:jc w:val="center"/>
              <w:rPr>
                <w:rFonts w:ascii="Arial Narrow" w:hAnsi="Arial Narrow" w:cs="Calibri"/>
                <w:b/>
                <w:bCs/>
                <w:sz w:val="20"/>
                <w:szCs w:val="20"/>
              </w:rPr>
            </w:pPr>
            <w:r>
              <w:rPr>
                <w:rFonts w:ascii="Arial Narrow" w:hAnsi="Arial Narrow" w:cs="Calibri"/>
                <w:b/>
                <w:bCs/>
                <w:sz w:val="20"/>
                <w:szCs w:val="20"/>
              </w:rPr>
              <w:t>4,70%</w:t>
            </w:r>
          </w:p>
        </w:tc>
        <w:tc>
          <w:tcPr>
            <w:tcW w:w="2268" w:type="dxa"/>
            <w:tcBorders>
              <w:top w:val="nil"/>
              <w:left w:val="single" w:sz="4" w:space="0" w:color="auto"/>
              <w:bottom w:val="single" w:sz="4" w:space="0" w:color="auto"/>
              <w:right w:val="nil"/>
            </w:tcBorders>
            <w:shd w:val="clear" w:color="auto" w:fill="auto"/>
            <w:noWrap/>
            <w:vAlign w:val="center"/>
            <w:hideMark/>
          </w:tcPr>
          <w:p w14:paraId="285A5114" w14:textId="77777777" w:rsidR="001F1F30" w:rsidRDefault="001F1F30">
            <w:pPr>
              <w:jc w:val="right"/>
              <w:rPr>
                <w:rFonts w:ascii="Arial Narrow" w:hAnsi="Arial Narrow" w:cs="Calibri"/>
                <w:sz w:val="20"/>
                <w:szCs w:val="20"/>
              </w:rPr>
            </w:pPr>
            <w:r>
              <w:rPr>
                <w:rFonts w:ascii="Arial Narrow" w:hAnsi="Arial Narrow" w:cs="Calibri"/>
                <w:sz w:val="20"/>
                <w:szCs w:val="20"/>
              </w:rPr>
              <w:t>73,72</w:t>
            </w:r>
          </w:p>
        </w:tc>
        <w:tc>
          <w:tcPr>
            <w:tcW w:w="2390" w:type="dxa"/>
            <w:tcBorders>
              <w:top w:val="nil"/>
              <w:left w:val="nil"/>
              <w:bottom w:val="single" w:sz="4" w:space="0" w:color="auto"/>
              <w:right w:val="nil"/>
            </w:tcBorders>
            <w:shd w:val="clear" w:color="auto" w:fill="auto"/>
            <w:noWrap/>
            <w:vAlign w:val="center"/>
            <w:hideMark/>
          </w:tcPr>
          <w:p w14:paraId="2BE545CE" w14:textId="77777777" w:rsidR="001F1F30" w:rsidRDefault="001F1F30">
            <w:pPr>
              <w:jc w:val="right"/>
              <w:rPr>
                <w:rFonts w:ascii="Arial Narrow" w:hAnsi="Arial Narrow" w:cs="Calibri"/>
                <w:sz w:val="20"/>
                <w:szCs w:val="20"/>
              </w:rPr>
            </w:pPr>
            <w:r>
              <w:rPr>
                <w:rFonts w:ascii="Arial Narrow" w:hAnsi="Arial Narrow" w:cs="Calibri"/>
                <w:sz w:val="20"/>
                <w:szCs w:val="20"/>
              </w:rPr>
              <w:t>80,58</w:t>
            </w:r>
          </w:p>
        </w:tc>
        <w:tc>
          <w:tcPr>
            <w:tcW w:w="1598" w:type="dxa"/>
            <w:tcBorders>
              <w:top w:val="nil"/>
              <w:left w:val="nil"/>
              <w:bottom w:val="single" w:sz="4" w:space="0" w:color="auto"/>
              <w:right w:val="single" w:sz="4" w:space="0" w:color="auto"/>
            </w:tcBorders>
            <w:shd w:val="clear" w:color="auto" w:fill="auto"/>
            <w:noWrap/>
            <w:vAlign w:val="center"/>
            <w:hideMark/>
          </w:tcPr>
          <w:p w14:paraId="15B3CC00" w14:textId="77777777" w:rsidR="001F1F30" w:rsidRDefault="001F1F30">
            <w:pPr>
              <w:jc w:val="right"/>
              <w:rPr>
                <w:rFonts w:ascii="Arial Narrow" w:hAnsi="Arial Narrow" w:cs="Calibri"/>
                <w:sz w:val="20"/>
                <w:szCs w:val="20"/>
              </w:rPr>
            </w:pPr>
            <w:r>
              <w:rPr>
                <w:rFonts w:ascii="Arial Narrow" w:hAnsi="Arial Narrow" w:cs="Calibri"/>
                <w:sz w:val="20"/>
                <w:szCs w:val="20"/>
              </w:rPr>
              <w:t>87,44</w:t>
            </w:r>
          </w:p>
        </w:tc>
      </w:tr>
    </w:tbl>
    <w:p w14:paraId="4F7C7151" w14:textId="77777777" w:rsidR="004B0FA2" w:rsidRDefault="004B0FA2" w:rsidP="00716B3D">
      <w:pPr>
        <w:spacing w:after="240" w:line="360" w:lineRule="auto"/>
        <w:rPr>
          <w:lang w:val="en-US"/>
        </w:rPr>
      </w:pPr>
    </w:p>
    <w:tbl>
      <w:tblPr>
        <w:tblW w:w="9498" w:type="dxa"/>
        <w:tblLook w:val="04A0" w:firstRow="1" w:lastRow="0" w:firstColumn="1" w:lastColumn="0" w:noHBand="0" w:noVBand="1"/>
      </w:tblPr>
      <w:tblGrid>
        <w:gridCol w:w="1276"/>
        <w:gridCol w:w="1985"/>
        <w:gridCol w:w="2885"/>
        <w:gridCol w:w="1934"/>
        <w:gridCol w:w="1418"/>
      </w:tblGrid>
      <w:tr w:rsidR="00BF4CA2" w14:paraId="3FDAA460" w14:textId="77777777" w:rsidTr="007E64DC">
        <w:trPr>
          <w:trHeight w:val="280"/>
        </w:trPr>
        <w:tc>
          <w:tcPr>
            <w:tcW w:w="9498" w:type="dxa"/>
            <w:gridSpan w:val="5"/>
            <w:tcBorders>
              <w:top w:val="nil"/>
              <w:left w:val="nil"/>
              <w:bottom w:val="nil"/>
              <w:right w:val="nil"/>
            </w:tcBorders>
            <w:shd w:val="clear" w:color="000000" w:fill="1F497D"/>
            <w:noWrap/>
            <w:vAlign w:val="bottom"/>
            <w:hideMark/>
          </w:tcPr>
          <w:p w14:paraId="74140A43" w14:textId="77777777" w:rsidR="00BF4CA2" w:rsidRDefault="00BF4CA2">
            <w:pPr>
              <w:jc w:val="center"/>
              <w:rPr>
                <w:rFonts w:ascii="Arial Narrow" w:hAnsi="Arial Narrow" w:cs="Calibri"/>
                <w:b/>
                <w:bCs/>
                <w:color w:val="FFFFFF"/>
                <w:sz w:val="20"/>
                <w:szCs w:val="20"/>
              </w:rPr>
            </w:pPr>
            <w:r>
              <w:rPr>
                <w:rFonts w:ascii="Arial Narrow" w:hAnsi="Arial Narrow" w:cs="Calibri"/>
                <w:b/>
                <w:bCs/>
                <w:color w:val="FFFFFF"/>
                <w:sz w:val="20"/>
                <w:szCs w:val="20"/>
              </w:rPr>
              <w:t xml:space="preserve">EV / EBITDA Multiple Sensitivity </w:t>
            </w:r>
          </w:p>
        </w:tc>
      </w:tr>
      <w:tr w:rsidR="00BF4CA2" w14:paraId="5044065D" w14:textId="77777777" w:rsidTr="007E64DC">
        <w:trPr>
          <w:trHeight w:val="280"/>
        </w:trPr>
        <w:tc>
          <w:tcPr>
            <w:tcW w:w="1276" w:type="dxa"/>
            <w:tcBorders>
              <w:top w:val="nil"/>
              <w:left w:val="nil"/>
              <w:bottom w:val="nil"/>
              <w:right w:val="nil"/>
            </w:tcBorders>
            <w:shd w:val="clear" w:color="auto" w:fill="auto"/>
            <w:noWrap/>
            <w:vAlign w:val="bottom"/>
            <w:hideMark/>
          </w:tcPr>
          <w:p w14:paraId="41E0D06A" w14:textId="77777777" w:rsidR="00BF4CA2" w:rsidRDefault="00BF4CA2">
            <w:pPr>
              <w:jc w:val="center"/>
              <w:rPr>
                <w:rFonts w:ascii="Arial Narrow" w:hAnsi="Arial Narrow" w:cs="Calibri"/>
                <w:b/>
                <w:bCs/>
                <w:color w:val="FFFFFF"/>
                <w:sz w:val="20"/>
                <w:szCs w:val="20"/>
              </w:rPr>
            </w:pPr>
          </w:p>
        </w:tc>
        <w:tc>
          <w:tcPr>
            <w:tcW w:w="1985" w:type="dxa"/>
            <w:tcBorders>
              <w:top w:val="nil"/>
              <w:left w:val="nil"/>
              <w:bottom w:val="nil"/>
              <w:right w:val="nil"/>
            </w:tcBorders>
            <w:shd w:val="clear" w:color="auto" w:fill="auto"/>
            <w:noWrap/>
            <w:vAlign w:val="bottom"/>
            <w:hideMark/>
          </w:tcPr>
          <w:p w14:paraId="68A84EAB" w14:textId="77777777" w:rsidR="00BF4CA2" w:rsidRDefault="00BF4CA2">
            <w:pPr>
              <w:rPr>
                <w:sz w:val="20"/>
                <w:szCs w:val="20"/>
              </w:rPr>
            </w:pPr>
          </w:p>
        </w:tc>
        <w:tc>
          <w:tcPr>
            <w:tcW w:w="6237" w:type="dxa"/>
            <w:gridSpan w:val="3"/>
            <w:tcBorders>
              <w:top w:val="nil"/>
              <w:left w:val="nil"/>
              <w:bottom w:val="single" w:sz="4" w:space="0" w:color="auto"/>
              <w:right w:val="nil"/>
            </w:tcBorders>
            <w:shd w:val="clear" w:color="auto" w:fill="auto"/>
            <w:noWrap/>
            <w:vAlign w:val="bottom"/>
            <w:hideMark/>
          </w:tcPr>
          <w:p w14:paraId="1BDEDFFF" w14:textId="77777777" w:rsidR="00BF4CA2" w:rsidRDefault="00BF4CA2">
            <w:pPr>
              <w:jc w:val="center"/>
              <w:rPr>
                <w:rFonts w:ascii="Arial Narrow" w:hAnsi="Arial Narrow" w:cs="Calibri"/>
                <w:i/>
                <w:iCs/>
                <w:sz w:val="20"/>
                <w:szCs w:val="20"/>
              </w:rPr>
            </w:pPr>
            <w:r>
              <w:rPr>
                <w:rFonts w:ascii="Arial Narrow" w:hAnsi="Arial Narrow" w:cs="Calibri"/>
                <w:i/>
                <w:iCs/>
                <w:sz w:val="20"/>
                <w:szCs w:val="20"/>
              </w:rPr>
              <w:t>Exit Multiple in FY2018</w:t>
            </w:r>
          </w:p>
        </w:tc>
      </w:tr>
      <w:tr w:rsidR="00BF4CA2" w14:paraId="057EB422" w14:textId="77777777" w:rsidTr="007E64DC">
        <w:trPr>
          <w:trHeight w:val="280"/>
        </w:trPr>
        <w:tc>
          <w:tcPr>
            <w:tcW w:w="1276" w:type="dxa"/>
            <w:tcBorders>
              <w:top w:val="nil"/>
              <w:left w:val="nil"/>
              <w:bottom w:val="nil"/>
              <w:right w:val="nil"/>
            </w:tcBorders>
            <w:shd w:val="clear" w:color="auto" w:fill="auto"/>
            <w:noWrap/>
            <w:vAlign w:val="bottom"/>
            <w:hideMark/>
          </w:tcPr>
          <w:p w14:paraId="5CB4F79F" w14:textId="77777777" w:rsidR="00BF4CA2" w:rsidRDefault="00BF4CA2">
            <w:pPr>
              <w:jc w:val="center"/>
              <w:rPr>
                <w:rFonts w:ascii="Arial Narrow" w:hAnsi="Arial Narrow" w:cs="Calibri"/>
                <w:i/>
                <w:iCs/>
                <w:sz w:val="20"/>
                <w:szCs w:val="20"/>
              </w:rPr>
            </w:pPr>
          </w:p>
        </w:tc>
        <w:tc>
          <w:tcPr>
            <w:tcW w:w="1985" w:type="dxa"/>
            <w:tcBorders>
              <w:top w:val="nil"/>
              <w:left w:val="nil"/>
              <w:bottom w:val="nil"/>
              <w:right w:val="nil"/>
            </w:tcBorders>
            <w:shd w:val="clear" w:color="auto" w:fill="auto"/>
            <w:noWrap/>
            <w:hideMark/>
          </w:tcPr>
          <w:p w14:paraId="258C86CC" w14:textId="77777777" w:rsidR="00BF4CA2" w:rsidRDefault="00BF4CA2">
            <w:pPr>
              <w:rPr>
                <w:sz w:val="20"/>
                <w:szCs w:val="20"/>
              </w:rPr>
            </w:pPr>
          </w:p>
        </w:tc>
        <w:tc>
          <w:tcPr>
            <w:tcW w:w="2885" w:type="dxa"/>
            <w:tcBorders>
              <w:top w:val="nil"/>
              <w:left w:val="nil"/>
              <w:bottom w:val="nil"/>
              <w:right w:val="nil"/>
            </w:tcBorders>
            <w:shd w:val="clear" w:color="auto" w:fill="auto"/>
            <w:noWrap/>
            <w:hideMark/>
          </w:tcPr>
          <w:p w14:paraId="1B1C1980" w14:textId="77777777" w:rsidR="00BF4CA2" w:rsidRDefault="00BF4CA2">
            <w:pPr>
              <w:jc w:val="center"/>
              <w:rPr>
                <w:rFonts w:ascii="Arial Narrow" w:hAnsi="Arial Narrow" w:cs="Calibri"/>
                <w:b/>
                <w:bCs/>
                <w:sz w:val="20"/>
                <w:szCs w:val="20"/>
              </w:rPr>
            </w:pPr>
            <w:r>
              <w:rPr>
                <w:rFonts w:ascii="Arial Narrow" w:hAnsi="Arial Narrow" w:cs="Calibri"/>
                <w:b/>
                <w:bCs/>
                <w:sz w:val="20"/>
                <w:szCs w:val="20"/>
              </w:rPr>
              <w:t>9</w:t>
            </w:r>
            <w:r w:rsidR="003B35F0">
              <w:rPr>
                <w:rFonts w:ascii="Arial Narrow" w:hAnsi="Arial Narrow" w:cs="Calibri"/>
                <w:b/>
                <w:bCs/>
                <w:sz w:val="20"/>
                <w:szCs w:val="20"/>
                <w:lang w:val="en-US"/>
              </w:rPr>
              <w:t>.</w:t>
            </w:r>
            <w:r>
              <w:rPr>
                <w:rFonts w:ascii="Arial Narrow" w:hAnsi="Arial Narrow" w:cs="Calibri"/>
                <w:b/>
                <w:bCs/>
                <w:sz w:val="20"/>
                <w:szCs w:val="20"/>
              </w:rPr>
              <w:t xml:space="preserve">4x </w:t>
            </w:r>
          </w:p>
        </w:tc>
        <w:tc>
          <w:tcPr>
            <w:tcW w:w="1934" w:type="dxa"/>
            <w:tcBorders>
              <w:top w:val="nil"/>
              <w:left w:val="nil"/>
              <w:bottom w:val="nil"/>
              <w:right w:val="nil"/>
            </w:tcBorders>
            <w:shd w:val="clear" w:color="auto" w:fill="auto"/>
            <w:noWrap/>
            <w:hideMark/>
          </w:tcPr>
          <w:p w14:paraId="200B11BA" w14:textId="77777777" w:rsidR="00BF4CA2" w:rsidRDefault="00BF4CA2">
            <w:pPr>
              <w:jc w:val="center"/>
              <w:rPr>
                <w:rFonts w:ascii="Arial Narrow" w:hAnsi="Arial Narrow" w:cs="Calibri"/>
                <w:b/>
                <w:bCs/>
                <w:sz w:val="20"/>
                <w:szCs w:val="20"/>
              </w:rPr>
            </w:pPr>
            <w:r>
              <w:rPr>
                <w:rFonts w:ascii="Arial Narrow" w:hAnsi="Arial Narrow" w:cs="Calibri"/>
                <w:b/>
                <w:bCs/>
                <w:sz w:val="20"/>
                <w:szCs w:val="20"/>
              </w:rPr>
              <w:t>10</w:t>
            </w:r>
            <w:r w:rsidR="003B35F0">
              <w:rPr>
                <w:rFonts w:ascii="Arial Narrow" w:hAnsi="Arial Narrow" w:cs="Calibri"/>
                <w:b/>
                <w:bCs/>
                <w:sz w:val="20"/>
                <w:szCs w:val="20"/>
                <w:lang w:val="en-US"/>
              </w:rPr>
              <w:t>.</w:t>
            </w:r>
            <w:r>
              <w:rPr>
                <w:rFonts w:ascii="Arial Narrow" w:hAnsi="Arial Narrow" w:cs="Calibri"/>
                <w:b/>
                <w:bCs/>
                <w:sz w:val="20"/>
                <w:szCs w:val="20"/>
              </w:rPr>
              <w:t xml:space="preserve">4x </w:t>
            </w:r>
          </w:p>
        </w:tc>
        <w:tc>
          <w:tcPr>
            <w:tcW w:w="1418" w:type="dxa"/>
            <w:tcBorders>
              <w:top w:val="nil"/>
              <w:left w:val="nil"/>
              <w:bottom w:val="nil"/>
              <w:right w:val="nil"/>
            </w:tcBorders>
            <w:shd w:val="clear" w:color="auto" w:fill="auto"/>
            <w:noWrap/>
            <w:hideMark/>
          </w:tcPr>
          <w:p w14:paraId="63B3D852" w14:textId="77777777" w:rsidR="00BF4CA2" w:rsidRDefault="00BF4CA2">
            <w:pPr>
              <w:jc w:val="center"/>
              <w:rPr>
                <w:rFonts w:ascii="Arial Narrow" w:hAnsi="Arial Narrow" w:cs="Calibri"/>
                <w:b/>
                <w:bCs/>
                <w:sz w:val="20"/>
                <w:szCs w:val="20"/>
              </w:rPr>
            </w:pPr>
            <w:r>
              <w:rPr>
                <w:rFonts w:ascii="Arial Narrow" w:hAnsi="Arial Narrow" w:cs="Calibri"/>
                <w:b/>
                <w:bCs/>
                <w:sz w:val="20"/>
                <w:szCs w:val="20"/>
              </w:rPr>
              <w:t>11</w:t>
            </w:r>
            <w:r w:rsidR="003B35F0">
              <w:rPr>
                <w:rFonts w:ascii="Arial Narrow" w:hAnsi="Arial Narrow" w:cs="Calibri"/>
                <w:b/>
                <w:bCs/>
                <w:sz w:val="20"/>
                <w:szCs w:val="20"/>
                <w:lang w:val="en-US"/>
              </w:rPr>
              <w:t>.</w:t>
            </w:r>
            <w:r>
              <w:rPr>
                <w:rFonts w:ascii="Arial Narrow" w:hAnsi="Arial Narrow" w:cs="Calibri"/>
                <w:b/>
                <w:bCs/>
                <w:sz w:val="20"/>
                <w:szCs w:val="20"/>
              </w:rPr>
              <w:t xml:space="preserve">4x </w:t>
            </w:r>
          </w:p>
        </w:tc>
      </w:tr>
      <w:tr w:rsidR="00BF4CA2" w14:paraId="71C97D79" w14:textId="77777777" w:rsidTr="007E64DC">
        <w:trPr>
          <w:trHeight w:val="280"/>
        </w:trPr>
        <w:tc>
          <w:tcPr>
            <w:tcW w:w="1276" w:type="dxa"/>
            <w:tcBorders>
              <w:top w:val="nil"/>
              <w:left w:val="nil"/>
              <w:bottom w:val="nil"/>
              <w:right w:val="single" w:sz="4" w:space="0" w:color="auto"/>
            </w:tcBorders>
            <w:shd w:val="clear" w:color="auto" w:fill="auto"/>
            <w:noWrap/>
            <w:vAlign w:val="bottom"/>
            <w:hideMark/>
          </w:tcPr>
          <w:p w14:paraId="68D136DE" w14:textId="77777777" w:rsidR="00BF4CA2" w:rsidRDefault="00BF4CA2">
            <w:pPr>
              <w:jc w:val="right"/>
              <w:rPr>
                <w:rFonts w:ascii="Arial Narrow" w:hAnsi="Arial Narrow" w:cs="Calibri"/>
                <w:sz w:val="20"/>
                <w:szCs w:val="20"/>
              </w:rPr>
            </w:pPr>
            <w:r>
              <w:rPr>
                <w:rFonts w:ascii="Arial Narrow" w:hAnsi="Arial Narrow" w:cs="Calibri"/>
                <w:sz w:val="20"/>
                <w:szCs w:val="20"/>
              </w:rPr>
              <w:t> </w:t>
            </w:r>
          </w:p>
        </w:tc>
        <w:tc>
          <w:tcPr>
            <w:tcW w:w="1985" w:type="dxa"/>
            <w:tcBorders>
              <w:top w:val="nil"/>
              <w:left w:val="nil"/>
              <w:bottom w:val="nil"/>
              <w:right w:val="nil"/>
            </w:tcBorders>
            <w:shd w:val="clear" w:color="auto" w:fill="auto"/>
            <w:noWrap/>
            <w:hideMark/>
          </w:tcPr>
          <w:p w14:paraId="3D32DD88" w14:textId="77777777" w:rsidR="00BF4CA2" w:rsidRDefault="00BF4CA2">
            <w:pPr>
              <w:jc w:val="center"/>
              <w:rPr>
                <w:rFonts w:ascii="Arial Narrow" w:hAnsi="Arial Narrow" w:cs="Calibri"/>
                <w:b/>
                <w:bCs/>
                <w:sz w:val="20"/>
                <w:szCs w:val="20"/>
              </w:rPr>
            </w:pPr>
            <w:r>
              <w:rPr>
                <w:rFonts w:ascii="Arial Narrow" w:hAnsi="Arial Narrow" w:cs="Calibri"/>
                <w:b/>
                <w:bCs/>
                <w:sz w:val="20"/>
                <w:szCs w:val="20"/>
              </w:rPr>
              <w:t>3</w:t>
            </w:r>
            <w:r w:rsidR="003B35F0">
              <w:rPr>
                <w:rFonts w:ascii="Arial Narrow" w:hAnsi="Arial Narrow" w:cs="Calibri"/>
                <w:b/>
                <w:bCs/>
                <w:sz w:val="20"/>
                <w:szCs w:val="20"/>
                <w:lang w:val="en-US"/>
              </w:rPr>
              <w:t>.</w:t>
            </w:r>
            <w:r>
              <w:rPr>
                <w:rFonts w:ascii="Arial Narrow" w:hAnsi="Arial Narrow" w:cs="Calibri"/>
                <w:b/>
                <w:bCs/>
                <w:sz w:val="20"/>
                <w:szCs w:val="20"/>
              </w:rPr>
              <w:t>18%</w:t>
            </w:r>
          </w:p>
        </w:tc>
        <w:tc>
          <w:tcPr>
            <w:tcW w:w="2885" w:type="dxa"/>
            <w:tcBorders>
              <w:top w:val="single" w:sz="4" w:space="0" w:color="auto"/>
              <w:left w:val="single" w:sz="4" w:space="0" w:color="auto"/>
              <w:bottom w:val="nil"/>
              <w:right w:val="nil"/>
            </w:tcBorders>
            <w:shd w:val="clear" w:color="auto" w:fill="auto"/>
            <w:noWrap/>
            <w:vAlign w:val="center"/>
            <w:hideMark/>
          </w:tcPr>
          <w:p w14:paraId="6369800C" w14:textId="77777777" w:rsidR="00BF4CA2" w:rsidRDefault="00BF4CA2">
            <w:pPr>
              <w:jc w:val="right"/>
              <w:rPr>
                <w:rFonts w:ascii="Arial Narrow" w:hAnsi="Arial Narrow" w:cs="Calibri"/>
                <w:sz w:val="20"/>
                <w:szCs w:val="20"/>
              </w:rPr>
            </w:pPr>
            <w:r>
              <w:rPr>
                <w:rFonts w:ascii="Arial Narrow" w:hAnsi="Arial Narrow" w:cs="Calibri"/>
                <w:sz w:val="20"/>
                <w:szCs w:val="20"/>
              </w:rPr>
              <w:t>14</w:t>
            </w:r>
            <w:r w:rsidR="003B35F0">
              <w:rPr>
                <w:rFonts w:ascii="Arial Narrow" w:hAnsi="Arial Narrow" w:cs="Calibri"/>
                <w:sz w:val="20"/>
                <w:szCs w:val="20"/>
                <w:lang w:val="en-US"/>
              </w:rPr>
              <w:t>.</w:t>
            </w:r>
            <w:r>
              <w:rPr>
                <w:rFonts w:ascii="Arial Narrow" w:hAnsi="Arial Narrow" w:cs="Calibri"/>
                <w:sz w:val="20"/>
                <w:szCs w:val="20"/>
              </w:rPr>
              <w:t xml:space="preserve">1x </w:t>
            </w:r>
          </w:p>
        </w:tc>
        <w:tc>
          <w:tcPr>
            <w:tcW w:w="1934" w:type="dxa"/>
            <w:tcBorders>
              <w:top w:val="single" w:sz="4" w:space="0" w:color="auto"/>
              <w:left w:val="nil"/>
              <w:bottom w:val="nil"/>
              <w:right w:val="nil"/>
            </w:tcBorders>
            <w:shd w:val="clear" w:color="auto" w:fill="auto"/>
            <w:noWrap/>
            <w:vAlign w:val="center"/>
            <w:hideMark/>
          </w:tcPr>
          <w:p w14:paraId="61623DCD" w14:textId="77777777" w:rsidR="00BF4CA2" w:rsidRDefault="00BF4CA2">
            <w:pPr>
              <w:jc w:val="right"/>
              <w:rPr>
                <w:rFonts w:ascii="Arial Narrow" w:hAnsi="Arial Narrow" w:cs="Calibri"/>
                <w:sz w:val="20"/>
                <w:szCs w:val="20"/>
              </w:rPr>
            </w:pPr>
            <w:r>
              <w:rPr>
                <w:rFonts w:ascii="Arial Narrow" w:hAnsi="Arial Narrow" w:cs="Calibri"/>
                <w:sz w:val="20"/>
                <w:szCs w:val="20"/>
              </w:rPr>
              <w:t>15</w:t>
            </w:r>
            <w:r w:rsidR="003B35F0">
              <w:rPr>
                <w:rFonts w:ascii="Arial Narrow" w:hAnsi="Arial Narrow" w:cs="Calibri"/>
                <w:sz w:val="20"/>
                <w:szCs w:val="20"/>
                <w:lang w:val="en-US"/>
              </w:rPr>
              <w:t>.</w:t>
            </w:r>
            <w:r>
              <w:rPr>
                <w:rFonts w:ascii="Arial Narrow" w:hAnsi="Arial Narrow" w:cs="Calibri"/>
                <w:sz w:val="20"/>
                <w:szCs w:val="20"/>
              </w:rPr>
              <w:t xml:space="preserve">2x </w:t>
            </w:r>
          </w:p>
        </w:tc>
        <w:tc>
          <w:tcPr>
            <w:tcW w:w="1418" w:type="dxa"/>
            <w:tcBorders>
              <w:top w:val="single" w:sz="4" w:space="0" w:color="auto"/>
              <w:left w:val="nil"/>
              <w:bottom w:val="nil"/>
              <w:right w:val="single" w:sz="4" w:space="0" w:color="auto"/>
            </w:tcBorders>
            <w:shd w:val="clear" w:color="auto" w:fill="auto"/>
            <w:noWrap/>
            <w:vAlign w:val="center"/>
            <w:hideMark/>
          </w:tcPr>
          <w:p w14:paraId="10E9BB77" w14:textId="77777777" w:rsidR="00BF4CA2" w:rsidRDefault="00BF4CA2">
            <w:pPr>
              <w:jc w:val="right"/>
              <w:rPr>
                <w:rFonts w:ascii="Arial Narrow" w:hAnsi="Arial Narrow" w:cs="Calibri"/>
                <w:sz w:val="20"/>
                <w:szCs w:val="20"/>
              </w:rPr>
            </w:pPr>
            <w:r>
              <w:rPr>
                <w:rFonts w:ascii="Arial Narrow" w:hAnsi="Arial Narrow" w:cs="Calibri"/>
                <w:sz w:val="20"/>
                <w:szCs w:val="20"/>
              </w:rPr>
              <w:t>16</w:t>
            </w:r>
            <w:r w:rsidR="003B35F0">
              <w:rPr>
                <w:rFonts w:ascii="Arial Narrow" w:hAnsi="Arial Narrow" w:cs="Calibri"/>
                <w:sz w:val="20"/>
                <w:szCs w:val="20"/>
                <w:lang w:val="en-US"/>
              </w:rPr>
              <w:t>.</w:t>
            </w:r>
            <w:r>
              <w:rPr>
                <w:rFonts w:ascii="Arial Narrow" w:hAnsi="Arial Narrow" w:cs="Calibri"/>
                <w:sz w:val="20"/>
                <w:szCs w:val="20"/>
              </w:rPr>
              <w:t xml:space="preserve">4x </w:t>
            </w:r>
          </w:p>
        </w:tc>
      </w:tr>
      <w:tr w:rsidR="00BF4CA2" w14:paraId="4F373FF7" w14:textId="77777777" w:rsidTr="007E64DC">
        <w:trPr>
          <w:trHeight w:val="280"/>
        </w:trPr>
        <w:tc>
          <w:tcPr>
            <w:tcW w:w="1276" w:type="dxa"/>
            <w:tcBorders>
              <w:top w:val="nil"/>
              <w:left w:val="nil"/>
              <w:bottom w:val="nil"/>
              <w:right w:val="single" w:sz="4" w:space="0" w:color="auto"/>
            </w:tcBorders>
            <w:shd w:val="clear" w:color="auto" w:fill="auto"/>
            <w:noWrap/>
            <w:vAlign w:val="bottom"/>
            <w:hideMark/>
          </w:tcPr>
          <w:p w14:paraId="59DF8277" w14:textId="77777777" w:rsidR="00BF4CA2" w:rsidRDefault="00BF4CA2">
            <w:pPr>
              <w:jc w:val="right"/>
              <w:rPr>
                <w:rFonts w:ascii="Arial Narrow" w:hAnsi="Arial Narrow" w:cs="Calibri"/>
                <w:i/>
                <w:iCs/>
                <w:sz w:val="20"/>
                <w:szCs w:val="20"/>
              </w:rPr>
            </w:pPr>
            <w:r>
              <w:rPr>
                <w:rFonts w:ascii="Arial Narrow" w:hAnsi="Arial Narrow" w:cs="Calibri"/>
                <w:i/>
                <w:iCs/>
                <w:sz w:val="20"/>
                <w:szCs w:val="20"/>
              </w:rPr>
              <w:t>Disc</w:t>
            </w:r>
          </w:p>
        </w:tc>
        <w:tc>
          <w:tcPr>
            <w:tcW w:w="1985" w:type="dxa"/>
            <w:tcBorders>
              <w:top w:val="nil"/>
              <w:left w:val="nil"/>
              <w:bottom w:val="nil"/>
              <w:right w:val="nil"/>
            </w:tcBorders>
            <w:shd w:val="clear" w:color="auto" w:fill="auto"/>
            <w:noWrap/>
            <w:hideMark/>
          </w:tcPr>
          <w:p w14:paraId="6E9D04A4" w14:textId="77777777" w:rsidR="00BF4CA2" w:rsidRDefault="00BF4CA2">
            <w:pPr>
              <w:jc w:val="center"/>
              <w:rPr>
                <w:rFonts w:ascii="Arial Narrow" w:hAnsi="Arial Narrow" w:cs="Calibri"/>
                <w:b/>
                <w:bCs/>
                <w:sz w:val="20"/>
                <w:szCs w:val="20"/>
              </w:rPr>
            </w:pPr>
            <w:r>
              <w:rPr>
                <w:rFonts w:ascii="Arial Narrow" w:hAnsi="Arial Narrow" w:cs="Calibri"/>
                <w:b/>
                <w:bCs/>
                <w:sz w:val="20"/>
                <w:szCs w:val="20"/>
              </w:rPr>
              <w:t>3</w:t>
            </w:r>
            <w:r w:rsidR="003B35F0">
              <w:rPr>
                <w:rFonts w:ascii="Arial Narrow" w:hAnsi="Arial Narrow" w:cs="Calibri"/>
                <w:b/>
                <w:bCs/>
                <w:sz w:val="20"/>
                <w:szCs w:val="20"/>
                <w:lang w:val="en-US"/>
              </w:rPr>
              <w:t>.</w:t>
            </w:r>
            <w:r>
              <w:rPr>
                <w:rFonts w:ascii="Arial Narrow" w:hAnsi="Arial Narrow" w:cs="Calibri"/>
                <w:b/>
                <w:bCs/>
                <w:sz w:val="20"/>
                <w:szCs w:val="20"/>
              </w:rPr>
              <w:t>68%</w:t>
            </w:r>
          </w:p>
        </w:tc>
        <w:tc>
          <w:tcPr>
            <w:tcW w:w="2885" w:type="dxa"/>
            <w:tcBorders>
              <w:top w:val="nil"/>
              <w:left w:val="single" w:sz="4" w:space="0" w:color="auto"/>
              <w:bottom w:val="nil"/>
              <w:right w:val="nil"/>
            </w:tcBorders>
            <w:shd w:val="clear" w:color="auto" w:fill="auto"/>
            <w:noWrap/>
            <w:vAlign w:val="center"/>
            <w:hideMark/>
          </w:tcPr>
          <w:p w14:paraId="18C7F99F" w14:textId="77777777" w:rsidR="00BF4CA2" w:rsidRDefault="00BF4CA2">
            <w:pPr>
              <w:jc w:val="right"/>
              <w:rPr>
                <w:rFonts w:ascii="Arial Narrow" w:hAnsi="Arial Narrow" w:cs="Calibri"/>
                <w:sz w:val="20"/>
                <w:szCs w:val="20"/>
              </w:rPr>
            </w:pPr>
            <w:r>
              <w:rPr>
                <w:rFonts w:ascii="Arial Narrow" w:hAnsi="Arial Narrow" w:cs="Calibri"/>
                <w:sz w:val="20"/>
                <w:szCs w:val="20"/>
              </w:rPr>
              <w:t>13</w:t>
            </w:r>
            <w:r w:rsidR="003B35F0">
              <w:rPr>
                <w:rFonts w:ascii="Arial Narrow" w:hAnsi="Arial Narrow" w:cs="Calibri"/>
                <w:sz w:val="20"/>
                <w:szCs w:val="20"/>
                <w:lang w:val="en-US"/>
              </w:rPr>
              <w:t>.</w:t>
            </w:r>
            <w:r>
              <w:rPr>
                <w:rFonts w:ascii="Arial Narrow" w:hAnsi="Arial Narrow" w:cs="Calibri"/>
                <w:sz w:val="20"/>
                <w:szCs w:val="20"/>
              </w:rPr>
              <w:t xml:space="preserve">8x </w:t>
            </w:r>
          </w:p>
        </w:tc>
        <w:tc>
          <w:tcPr>
            <w:tcW w:w="1934" w:type="dxa"/>
            <w:tcBorders>
              <w:top w:val="nil"/>
              <w:left w:val="nil"/>
              <w:bottom w:val="nil"/>
              <w:right w:val="nil"/>
            </w:tcBorders>
            <w:shd w:val="clear" w:color="auto" w:fill="auto"/>
            <w:noWrap/>
            <w:vAlign w:val="center"/>
            <w:hideMark/>
          </w:tcPr>
          <w:p w14:paraId="4AC00DEC" w14:textId="77777777" w:rsidR="00BF4CA2" w:rsidRDefault="00BF4CA2">
            <w:pPr>
              <w:jc w:val="right"/>
              <w:rPr>
                <w:rFonts w:ascii="Arial Narrow" w:hAnsi="Arial Narrow" w:cs="Calibri"/>
                <w:sz w:val="20"/>
                <w:szCs w:val="20"/>
              </w:rPr>
            </w:pPr>
            <w:r>
              <w:rPr>
                <w:rFonts w:ascii="Arial Narrow" w:hAnsi="Arial Narrow" w:cs="Calibri"/>
                <w:sz w:val="20"/>
                <w:szCs w:val="20"/>
              </w:rPr>
              <w:t>14</w:t>
            </w:r>
            <w:r w:rsidR="003B35F0">
              <w:rPr>
                <w:rFonts w:ascii="Arial Narrow" w:hAnsi="Arial Narrow" w:cs="Calibri"/>
                <w:sz w:val="20"/>
                <w:szCs w:val="20"/>
                <w:lang w:val="en-US"/>
              </w:rPr>
              <w:t>.</w:t>
            </w:r>
            <w:r>
              <w:rPr>
                <w:rFonts w:ascii="Arial Narrow" w:hAnsi="Arial Narrow" w:cs="Calibri"/>
                <w:sz w:val="20"/>
                <w:szCs w:val="20"/>
              </w:rPr>
              <w:t xml:space="preserve">9x </w:t>
            </w:r>
          </w:p>
        </w:tc>
        <w:tc>
          <w:tcPr>
            <w:tcW w:w="1418" w:type="dxa"/>
            <w:tcBorders>
              <w:top w:val="nil"/>
              <w:left w:val="nil"/>
              <w:bottom w:val="nil"/>
              <w:right w:val="single" w:sz="4" w:space="0" w:color="auto"/>
            </w:tcBorders>
            <w:shd w:val="clear" w:color="auto" w:fill="auto"/>
            <w:noWrap/>
            <w:vAlign w:val="center"/>
            <w:hideMark/>
          </w:tcPr>
          <w:p w14:paraId="44E2E350" w14:textId="77777777" w:rsidR="00BF4CA2" w:rsidRDefault="00BF4CA2">
            <w:pPr>
              <w:jc w:val="right"/>
              <w:rPr>
                <w:rFonts w:ascii="Arial Narrow" w:hAnsi="Arial Narrow" w:cs="Calibri"/>
                <w:sz w:val="20"/>
                <w:szCs w:val="20"/>
              </w:rPr>
            </w:pPr>
            <w:r>
              <w:rPr>
                <w:rFonts w:ascii="Arial Narrow" w:hAnsi="Arial Narrow" w:cs="Calibri"/>
                <w:sz w:val="20"/>
                <w:szCs w:val="20"/>
              </w:rPr>
              <w:t>16</w:t>
            </w:r>
            <w:r w:rsidR="003B35F0">
              <w:rPr>
                <w:rFonts w:ascii="Arial Narrow" w:hAnsi="Arial Narrow" w:cs="Calibri"/>
                <w:sz w:val="20"/>
                <w:szCs w:val="20"/>
                <w:lang w:val="en-US"/>
              </w:rPr>
              <w:t>.</w:t>
            </w:r>
            <w:r>
              <w:rPr>
                <w:rFonts w:ascii="Arial Narrow" w:hAnsi="Arial Narrow" w:cs="Calibri"/>
                <w:sz w:val="20"/>
                <w:szCs w:val="20"/>
              </w:rPr>
              <w:t xml:space="preserve">1x </w:t>
            </w:r>
          </w:p>
        </w:tc>
      </w:tr>
      <w:tr w:rsidR="00BF4CA2" w14:paraId="7774B712" w14:textId="77777777" w:rsidTr="007E64DC">
        <w:trPr>
          <w:trHeight w:val="280"/>
        </w:trPr>
        <w:tc>
          <w:tcPr>
            <w:tcW w:w="1276" w:type="dxa"/>
            <w:tcBorders>
              <w:top w:val="nil"/>
              <w:left w:val="nil"/>
              <w:bottom w:val="nil"/>
              <w:right w:val="single" w:sz="4" w:space="0" w:color="auto"/>
            </w:tcBorders>
            <w:shd w:val="clear" w:color="auto" w:fill="auto"/>
            <w:noWrap/>
            <w:vAlign w:val="bottom"/>
            <w:hideMark/>
          </w:tcPr>
          <w:p w14:paraId="159DC0A6" w14:textId="77777777" w:rsidR="00BF4CA2" w:rsidRDefault="00BF4CA2">
            <w:pPr>
              <w:jc w:val="right"/>
              <w:rPr>
                <w:rFonts w:ascii="Arial Narrow" w:hAnsi="Arial Narrow" w:cs="Calibri"/>
                <w:i/>
                <w:iCs/>
                <w:sz w:val="20"/>
                <w:szCs w:val="20"/>
              </w:rPr>
            </w:pPr>
            <w:r>
              <w:rPr>
                <w:rFonts w:ascii="Arial Narrow" w:hAnsi="Arial Narrow" w:cs="Calibri"/>
                <w:i/>
                <w:iCs/>
                <w:sz w:val="20"/>
                <w:szCs w:val="20"/>
              </w:rPr>
              <w:t>Rate</w:t>
            </w:r>
          </w:p>
        </w:tc>
        <w:tc>
          <w:tcPr>
            <w:tcW w:w="1985" w:type="dxa"/>
            <w:tcBorders>
              <w:top w:val="nil"/>
              <w:left w:val="nil"/>
              <w:bottom w:val="nil"/>
              <w:right w:val="nil"/>
            </w:tcBorders>
            <w:shd w:val="clear" w:color="auto" w:fill="auto"/>
            <w:noWrap/>
            <w:hideMark/>
          </w:tcPr>
          <w:p w14:paraId="5FF45294" w14:textId="77777777" w:rsidR="00BF4CA2" w:rsidRDefault="00BF4CA2">
            <w:pPr>
              <w:jc w:val="center"/>
              <w:rPr>
                <w:rFonts w:ascii="Arial Narrow" w:hAnsi="Arial Narrow" w:cs="Calibri"/>
                <w:b/>
                <w:bCs/>
                <w:sz w:val="20"/>
                <w:szCs w:val="20"/>
              </w:rPr>
            </w:pPr>
            <w:r>
              <w:rPr>
                <w:rFonts w:ascii="Arial Narrow" w:hAnsi="Arial Narrow" w:cs="Calibri"/>
                <w:b/>
                <w:bCs/>
                <w:sz w:val="20"/>
                <w:szCs w:val="20"/>
              </w:rPr>
              <w:t>4</w:t>
            </w:r>
            <w:r w:rsidR="003B35F0">
              <w:rPr>
                <w:rFonts w:ascii="Arial Narrow" w:hAnsi="Arial Narrow" w:cs="Calibri"/>
                <w:b/>
                <w:bCs/>
                <w:sz w:val="20"/>
                <w:szCs w:val="20"/>
                <w:lang w:val="en-US"/>
              </w:rPr>
              <w:t>.</w:t>
            </w:r>
            <w:r>
              <w:rPr>
                <w:rFonts w:ascii="Arial Narrow" w:hAnsi="Arial Narrow" w:cs="Calibri"/>
                <w:b/>
                <w:bCs/>
                <w:sz w:val="20"/>
                <w:szCs w:val="20"/>
              </w:rPr>
              <w:t>18%</w:t>
            </w:r>
          </w:p>
        </w:tc>
        <w:tc>
          <w:tcPr>
            <w:tcW w:w="2885" w:type="dxa"/>
            <w:tcBorders>
              <w:top w:val="nil"/>
              <w:left w:val="single" w:sz="4" w:space="0" w:color="auto"/>
              <w:bottom w:val="nil"/>
              <w:right w:val="nil"/>
            </w:tcBorders>
            <w:shd w:val="clear" w:color="auto" w:fill="auto"/>
            <w:noWrap/>
            <w:vAlign w:val="center"/>
            <w:hideMark/>
          </w:tcPr>
          <w:p w14:paraId="3B10F366" w14:textId="77777777" w:rsidR="00BF4CA2" w:rsidRDefault="00BF4CA2">
            <w:pPr>
              <w:jc w:val="right"/>
              <w:rPr>
                <w:rFonts w:ascii="Arial Narrow" w:hAnsi="Arial Narrow" w:cs="Calibri"/>
                <w:sz w:val="20"/>
                <w:szCs w:val="20"/>
              </w:rPr>
            </w:pPr>
            <w:r>
              <w:rPr>
                <w:rFonts w:ascii="Arial Narrow" w:hAnsi="Arial Narrow" w:cs="Calibri"/>
                <w:sz w:val="20"/>
                <w:szCs w:val="20"/>
              </w:rPr>
              <w:t>13</w:t>
            </w:r>
            <w:r w:rsidR="003B35F0">
              <w:rPr>
                <w:rFonts w:ascii="Arial Narrow" w:hAnsi="Arial Narrow" w:cs="Calibri"/>
                <w:sz w:val="20"/>
                <w:szCs w:val="20"/>
                <w:lang w:val="en-US"/>
              </w:rPr>
              <w:t>.</w:t>
            </w:r>
            <w:r>
              <w:rPr>
                <w:rFonts w:ascii="Arial Narrow" w:hAnsi="Arial Narrow" w:cs="Calibri"/>
                <w:sz w:val="20"/>
                <w:szCs w:val="20"/>
              </w:rPr>
              <w:t xml:space="preserve">6x </w:t>
            </w:r>
          </w:p>
        </w:tc>
        <w:tc>
          <w:tcPr>
            <w:tcW w:w="1934" w:type="dxa"/>
            <w:tcBorders>
              <w:top w:val="nil"/>
              <w:left w:val="nil"/>
              <w:bottom w:val="nil"/>
              <w:right w:val="nil"/>
            </w:tcBorders>
            <w:shd w:val="clear" w:color="000000" w:fill="B8CCE4"/>
            <w:noWrap/>
            <w:vAlign w:val="center"/>
            <w:hideMark/>
          </w:tcPr>
          <w:p w14:paraId="14565EA8" w14:textId="77777777" w:rsidR="00BF4CA2" w:rsidRPr="001F1F30" w:rsidRDefault="00BF4CA2">
            <w:pPr>
              <w:jc w:val="right"/>
              <w:rPr>
                <w:rFonts w:ascii="Arial Narrow" w:hAnsi="Arial Narrow" w:cs="Calibri"/>
                <w:b/>
                <w:bCs/>
                <w:sz w:val="20"/>
                <w:szCs w:val="20"/>
                <w:lang w:val="en-US"/>
              </w:rPr>
            </w:pPr>
            <w:r>
              <w:rPr>
                <w:rFonts w:ascii="Arial Narrow" w:hAnsi="Arial Narrow" w:cs="Calibri"/>
                <w:b/>
                <w:bCs/>
                <w:sz w:val="20"/>
                <w:szCs w:val="20"/>
              </w:rPr>
              <w:t>14</w:t>
            </w:r>
            <w:r w:rsidR="003B35F0">
              <w:rPr>
                <w:rFonts w:ascii="Arial Narrow" w:hAnsi="Arial Narrow" w:cs="Calibri"/>
                <w:b/>
                <w:bCs/>
                <w:sz w:val="20"/>
                <w:szCs w:val="20"/>
                <w:lang w:val="en-US"/>
              </w:rPr>
              <w:t>.</w:t>
            </w:r>
            <w:r>
              <w:rPr>
                <w:rFonts w:ascii="Arial Narrow" w:hAnsi="Arial Narrow" w:cs="Calibri"/>
                <w:b/>
                <w:bCs/>
                <w:sz w:val="20"/>
                <w:szCs w:val="20"/>
              </w:rPr>
              <w:t>66</w:t>
            </w:r>
            <w:r w:rsidR="001F1F30">
              <w:rPr>
                <w:rFonts w:ascii="Arial Narrow" w:hAnsi="Arial Narrow" w:cs="Calibri"/>
                <w:b/>
                <w:bCs/>
                <w:sz w:val="20"/>
                <w:szCs w:val="20"/>
                <w:lang w:val="en-US"/>
              </w:rPr>
              <w:t>x</w:t>
            </w:r>
          </w:p>
        </w:tc>
        <w:tc>
          <w:tcPr>
            <w:tcW w:w="1418" w:type="dxa"/>
            <w:tcBorders>
              <w:top w:val="nil"/>
              <w:left w:val="nil"/>
              <w:bottom w:val="nil"/>
              <w:right w:val="single" w:sz="4" w:space="0" w:color="auto"/>
            </w:tcBorders>
            <w:shd w:val="clear" w:color="auto" w:fill="auto"/>
            <w:noWrap/>
            <w:vAlign w:val="center"/>
            <w:hideMark/>
          </w:tcPr>
          <w:p w14:paraId="507A1B43" w14:textId="77777777" w:rsidR="00BF4CA2" w:rsidRDefault="00BF4CA2">
            <w:pPr>
              <w:jc w:val="right"/>
              <w:rPr>
                <w:rFonts w:ascii="Arial Narrow" w:hAnsi="Arial Narrow" w:cs="Calibri"/>
                <w:sz w:val="20"/>
                <w:szCs w:val="20"/>
              </w:rPr>
            </w:pPr>
            <w:r>
              <w:rPr>
                <w:rFonts w:ascii="Arial Narrow" w:hAnsi="Arial Narrow" w:cs="Calibri"/>
                <w:sz w:val="20"/>
                <w:szCs w:val="20"/>
              </w:rPr>
              <w:t>15</w:t>
            </w:r>
            <w:r w:rsidR="003B35F0">
              <w:rPr>
                <w:rFonts w:ascii="Arial Narrow" w:hAnsi="Arial Narrow" w:cs="Calibri"/>
                <w:sz w:val="20"/>
                <w:szCs w:val="20"/>
                <w:lang w:val="en-US"/>
              </w:rPr>
              <w:t>.</w:t>
            </w:r>
            <w:r>
              <w:rPr>
                <w:rFonts w:ascii="Arial Narrow" w:hAnsi="Arial Narrow" w:cs="Calibri"/>
                <w:sz w:val="20"/>
                <w:szCs w:val="20"/>
              </w:rPr>
              <w:t xml:space="preserve">8x </w:t>
            </w:r>
          </w:p>
        </w:tc>
      </w:tr>
      <w:tr w:rsidR="00BF4CA2" w14:paraId="742C9E81" w14:textId="77777777" w:rsidTr="007E64DC">
        <w:trPr>
          <w:trHeight w:val="280"/>
        </w:trPr>
        <w:tc>
          <w:tcPr>
            <w:tcW w:w="1276" w:type="dxa"/>
            <w:tcBorders>
              <w:top w:val="nil"/>
              <w:left w:val="nil"/>
              <w:bottom w:val="nil"/>
              <w:right w:val="single" w:sz="4" w:space="0" w:color="auto"/>
            </w:tcBorders>
            <w:shd w:val="clear" w:color="auto" w:fill="auto"/>
            <w:noWrap/>
            <w:vAlign w:val="bottom"/>
            <w:hideMark/>
          </w:tcPr>
          <w:p w14:paraId="53A036A8" w14:textId="77777777" w:rsidR="00BF4CA2" w:rsidRDefault="00BF4CA2">
            <w:pPr>
              <w:jc w:val="right"/>
              <w:rPr>
                <w:rFonts w:ascii="Arial Narrow" w:hAnsi="Arial Narrow" w:cs="Calibri"/>
                <w:sz w:val="20"/>
                <w:szCs w:val="20"/>
              </w:rPr>
            </w:pPr>
            <w:r>
              <w:rPr>
                <w:rFonts w:ascii="Arial Narrow" w:hAnsi="Arial Narrow" w:cs="Calibri"/>
                <w:sz w:val="20"/>
                <w:szCs w:val="20"/>
              </w:rPr>
              <w:t> </w:t>
            </w:r>
          </w:p>
        </w:tc>
        <w:tc>
          <w:tcPr>
            <w:tcW w:w="1985" w:type="dxa"/>
            <w:tcBorders>
              <w:top w:val="nil"/>
              <w:left w:val="nil"/>
              <w:bottom w:val="nil"/>
              <w:right w:val="nil"/>
            </w:tcBorders>
            <w:shd w:val="clear" w:color="auto" w:fill="auto"/>
            <w:noWrap/>
            <w:hideMark/>
          </w:tcPr>
          <w:p w14:paraId="445DB475" w14:textId="77777777" w:rsidR="00BF4CA2" w:rsidRDefault="00BF4CA2">
            <w:pPr>
              <w:jc w:val="center"/>
              <w:rPr>
                <w:rFonts w:ascii="Arial Narrow" w:hAnsi="Arial Narrow" w:cs="Calibri"/>
                <w:b/>
                <w:bCs/>
                <w:sz w:val="20"/>
                <w:szCs w:val="20"/>
              </w:rPr>
            </w:pPr>
            <w:r>
              <w:rPr>
                <w:rFonts w:ascii="Arial Narrow" w:hAnsi="Arial Narrow" w:cs="Calibri"/>
                <w:b/>
                <w:bCs/>
                <w:sz w:val="20"/>
                <w:szCs w:val="20"/>
              </w:rPr>
              <w:t>4</w:t>
            </w:r>
            <w:r w:rsidR="003B35F0">
              <w:rPr>
                <w:rFonts w:ascii="Arial Narrow" w:hAnsi="Arial Narrow" w:cs="Calibri"/>
                <w:b/>
                <w:bCs/>
                <w:sz w:val="20"/>
                <w:szCs w:val="20"/>
                <w:lang w:val="en-US"/>
              </w:rPr>
              <w:t>.</w:t>
            </w:r>
            <w:r>
              <w:rPr>
                <w:rFonts w:ascii="Arial Narrow" w:hAnsi="Arial Narrow" w:cs="Calibri"/>
                <w:b/>
                <w:bCs/>
                <w:sz w:val="20"/>
                <w:szCs w:val="20"/>
              </w:rPr>
              <w:t>68%</w:t>
            </w:r>
          </w:p>
        </w:tc>
        <w:tc>
          <w:tcPr>
            <w:tcW w:w="2885" w:type="dxa"/>
            <w:tcBorders>
              <w:top w:val="nil"/>
              <w:left w:val="single" w:sz="4" w:space="0" w:color="auto"/>
              <w:bottom w:val="single" w:sz="4" w:space="0" w:color="auto"/>
              <w:right w:val="nil"/>
            </w:tcBorders>
            <w:shd w:val="clear" w:color="auto" w:fill="auto"/>
            <w:noWrap/>
            <w:vAlign w:val="center"/>
            <w:hideMark/>
          </w:tcPr>
          <w:p w14:paraId="59E0B5C8" w14:textId="77777777" w:rsidR="00BF4CA2" w:rsidRDefault="00BF4CA2">
            <w:pPr>
              <w:jc w:val="right"/>
              <w:rPr>
                <w:rFonts w:ascii="Arial Narrow" w:hAnsi="Arial Narrow" w:cs="Calibri"/>
                <w:sz w:val="20"/>
                <w:szCs w:val="20"/>
              </w:rPr>
            </w:pPr>
            <w:r>
              <w:rPr>
                <w:rFonts w:ascii="Arial Narrow" w:hAnsi="Arial Narrow" w:cs="Calibri"/>
                <w:sz w:val="20"/>
                <w:szCs w:val="20"/>
              </w:rPr>
              <w:t>13</w:t>
            </w:r>
            <w:r w:rsidR="003B35F0">
              <w:rPr>
                <w:rFonts w:ascii="Arial Narrow" w:hAnsi="Arial Narrow" w:cs="Calibri"/>
                <w:sz w:val="20"/>
                <w:szCs w:val="20"/>
                <w:lang w:val="en-US"/>
              </w:rPr>
              <w:t>.</w:t>
            </w:r>
            <w:r>
              <w:rPr>
                <w:rFonts w:ascii="Arial Narrow" w:hAnsi="Arial Narrow" w:cs="Calibri"/>
                <w:sz w:val="20"/>
                <w:szCs w:val="20"/>
              </w:rPr>
              <w:t xml:space="preserve">3x </w:t>
            </w:r>
          </w:p>
        </w:tc>
        <w:tc>
          <w:tcPr>
            <w:tcW w:w="1934" w:type="dxa"/>
            <w:tcBorders>
              <w:top w:val="nil"/>
              <w:left w:val="nil"/>
              <w:bottom w:val="single" w:sz="4" w:space="0" w:color="auto"/>
              <w:right w:val="nil"/>
            </w:tcBorders>
            <w:shd w:val="clear" w:color="auto" w:fill="auto"/>
            <w:noWrap/>
            <w:vAlign w:val="center"/>
            <w:hideMark/>
          </w:tcPr>
          <w:p w14:paraId="1CAAAC39" w14:textId="77777777" w:rsidR="00BF4CA2" w:rsidRDefault="00BF4CA2">
            <w:pPr>
              <w:jc w:val="right"/>
              <w:rPr>
                <w:rFonts w:ascii="Arial Narrow" w:hAnsi="Arial Narrow" w:cs="Calibri"/>
                <w:sz w:val="20"/>
                <w:szCs w:val="20"/>
              </w:rPr>
            </w:pPr>
            <w:r>
              <w:rPr>
                <w:rFonts w:ascii="Arial Narrow" w:hAnsi="Arial Narrow" w:cs="Calibri"/>
                <w:sz w:val="20"/>
                <w:szCs w:val="20"/>
              </w:rPr>
              <w:t>14</w:t>
            </w:r>
            <w:r w:rsidR="003B35F0">
              <w:rPr>
                <w:rFonts w:ascii="Arial Narrow" w:hAnsi="Arial Narrow" w:cs="Calibri"/>
                <w:sz w:val="20"/>
                <w:szCs w:val="20"/>
                <w:lang w:val="en-US"/>
              </w:rPr>
              <w:t>.</w:t>
            </w:r>
            <w:r>
              <w:rPr>
                <w:rFonts w:ascii="Arial Narrow" w:hAnsi="Arial Narrow" w:cs="Calibri"/>
                <w:sz w:val="20"/>
                <w:szCs w:val="20"/>
              </w:rPr>
              <w:t xml:space="preserve">4x </w:t>
            </w:r>
          </w:p>
        </w:tc>
        <w:tc>
          <w:tcPr>
            <w:tcW w:w="1418" w:type="dxa"/>
            <w:tcBorders>
              <w:top w:val="nil"/>
              <w:left w:val="nil"/>
              <w:bottom w:val="single" w:sz="4" w:space="0" w:color="auto"/>
              <w:right w:val="single" w:sz="4" w:space="0" w:color="auto"/>
            </w:tcBorders>
            <w:shd w:val="clear" w:color="auto" w:fill="auto"/>
            <w:noWrap/>
            <w:vAlign w:val="center"/>
            <w:hideMark/>
          </w:tcPr>
          <w:p w14:paraId="5A9DD621" w14:textId="77777777" w:rsidR="00BF4CA2" w:rsidRDefault="00BF4CA2">
            <w:pPr>
              <w:jc w:val="right"/>
              <w:rPr>
                <w:rFonts w:ascii="Arial Narrow" w:hAnsi="Arial Narrow" w:cs="Calibri"/>
                <w:sz w:val="20"/>
                <w:szCs w:val="20"/>
              </w:rPr>
            </w:pPr>
            <w:r>
              <w:rPr>
                <w:rFonts w:ascii="Arial Narrow" w:hAnsi="Arial Narrow" w:cs="Calibri"/>
                <w:sz w:val="20"/>
                <w:szCs w:val="20"/>
              </w:rPr>
              <w:t>15</w:t>
            </w:r>
            <w:r w:rsidR="003B35F0">
              <w:rPr>
                <w:rFonts w:ascii="Arial Narrow" w:hAnsi="Arial Narrow" w:cs="Calibri"/>
                <w:sz w:val="20"/>
                <w:szCs w:val="20"/>
                <w:lang w:val="en-US"/>
              </w:rPr>
              <w:t>.</w:t>
            </w:r>
            <w:r>
              <w:rPr>
                <w:rFonts w:ascii="Arial Narrow" w:hAnsi="Arial Narrow" w:cs="Calibri"/>
                <w:sz w:val="20"/>
                <w:szCs w:val="20"/>
              </w:rPr>
              <w:t xml:space="preserve">5x </w:t>
            </w:r>
          </w:p>
        </w:tc>
      </w:tr>
    </w:tbl>
    <w:p w14:paraId="4BA4724D" w14:textId="33CD6D95" w:rsidR="007E64DC" w:rsidRDefault="007E64DC">
      <w:pPr>
        <w:rPr>
          <w:lang w:val="en-US"/>
        </w:rPr>
      </w:pPr>
    </w:p>
    <w:p w14:paraId="7EC1C484" w14:textId="77777777" w:rsidR="007E64DC" w:rsidRPr="007E64DC" w:rsidRDefault="007E64DC" w:rsidP="007E64DC">
      <w:pPr>
        <w:spacing w:line="360" w:lineRule="auto"/>
        <w:rPr>
          <w:rFonts w:eastAsia="KaiTi"/>
          <w:color w:val="000000" w:themeColor="text1"/>
          <w:lang w:val="en-US"/>
        </w:rPr>
      </w:pPr>
      <w:r w:rsidRPr="007E64DC">
        <w:rPr>
          <w:rFonts w:eastAsia="KaiTi"/>
          <w:b/>
          <w:bCs/>
          <w:i/>
          <w:iCs/>
          <w:color w:val="000000" w:themeColor="text1"/>
          <w:lang w:val="en-US"/>
        </w:rPr>
        <w:t>Question 4.</w:t>
      </w:r>
      <w:r w:rsidRPr="007E64DC">
        <w:rPr>
          <w:rFonts w:eastAsia="KaiTi"/>
          <w:i/>
          <w:iCs/>
          <w:color w:val="000000" w:themeColor="text1"/>
          <w:lang w:val="en-US"/>
        </w:rPr>
        <w:t xml:space="preserve"> </w:t>
      </w:r>
      <w:r w:rsidRPr="007E64DC">
        <w:rPr>
          <w:rFonts w:eastAsia="KaiTi"/>
          <w:color w:val="000000" w:themeColor="text1"/>
          <w:lang w:val="en-US"/>
        </w:rPr>
        <w:t>Why did this transaction propose zero synergy? Discuss potential synergies that could be realized.</w:t>
      </w:r>
    </w:p>
    <w:p w14:paraId="6A9D0645" w14:textId="77777777" w:rsidR="007E64DC" w:rsidRPr="007E64DC" w:rsidRDefault="007E64DC" w:rsidP="007E64DC">
      <w:pPr>
        <w:spacing w:line="360" w:lineRule="auto"/>
        <w:rPr>
          <w:rFonts w:eastAsia="KaiTi"/>
          <w:b/>
          <w:bCs/>
          <w:i/>
          <w:iCs/>
          <w:color w:val="000000" w:themeColor="text1"/>
          <w:lang w:val="en-US"/>
        </w:rPr>
      </w:pPr>
      <w:r w:rsidRPr="007E64DC">
        <w:rPr>
          <w:rFonts w:eastAsia="KaiTi"/>
          <w:b/>
          <w:bCs/>
          <w:i/>
          <w:iCs/>
          <w:color w:val="000000" w:themeColor="text1"/>
          <w:lang w:val="en-US"/>
        </w:rPr>
        <w:t xml:space="preserve">Answer: </w:t>
      </w:r>
    </w:p>
    <w:p w14:paraId="25066AE5" w14:textId="77777777" w:rsidR="007E64DC" w:rsidRPr="007E64DC" w:rsidRDefault="007E64DC" w:rsidP="007E64DC">
      <w:pPr>
        <w:spacing w:line="360" w:lineRule="auto"/>
        <w:rPr>
          <w:rFonts w:eastAsia="KaiTi"/>
          <w:i/>
          <w:iCs/>
          <w:color w:val="000000" w:themeColor="text1"/>
          <w:u w:val="single"/>
          <w:lang w:val="en-US"/>
        </w:rPr>
      </w:pPr>
      <w:r w:rsidRPr="007E64DC">
        <w:rPr>
          <w:rFonts w:eastAsia="KaiTi"/>
          <w:i/>
          <w:iCs/>
          <w:color w:val="000000" w:themeColor="text1"/>
          <w:u w:val="single"/>
          <w:lang w:val="en-US"/>
        </w:rPr>
        <w:t>1. Why Did the Transaction Propose Zero Synergies?</w:t>
      </w:r>
    </w:p>
    <w:p w14:paraId="023FA744" w14:textId="77777777" w:rsidR="007E64DC" w:rsidRPr="007E64DC" w:rsidRDefault="007E64DC" w:rsidP="007E64DC">
      <w:pPr>
        <w:spacing w:line="360" w:lineRule="auto"/>
        <w:rPr>
          <w:rFonts w:eastAsia="KaiTi"/>
          <w:color w:val="000000" w:themeColor="text1"/>
          <w:lang w:val="en-US"/>
        </w:rPr>
      </w:pPr>
      <w:r w:rsidRPr="007E64DC">
        <w:rPr>
          <w:rFonts w:eastAsia="KaiTi"/>
          <w:color w:val="000000" w:themeColor="text1"/>
          <w:lang w:val="en-US"/>
        </w:rPr>
        <w:t>The decision to explicitly state "zero synergies" in the Heinz acquisition was driven by three key factors, as outlined in the case documentation:</w:t>
      </w:r>
    </w:p>
    <w:p w14:paraId="5F008789" w14:textId="77777777" w:rsidR="007E64DC" w:rsidRPr="007E64DC" w:rsidRDefault="007E64DC" w:rsidP="007E64DC">
      <w:pPr>
        <w:pStyle w:val="ListParagraph"/>
        <w:widowControl w:val="0"/>
        <w:numPr>
          <w:ilvl w:val="0"/>
          <w:numId w:val="12"/>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Commitment to Independence:</w:t>
      </w:r>
      <w:r w:rsidRPr="007E64DC">
        <w:rPr>
          <w:rFonts w:ascii="Times New Roman" w:eastAsia="KaiTi" w:hAnsi="Times New Roman" w:cs="Times New Roman"/>
          <w:color w:val="000000" w:themeColor="text1"/>
          <w:lang w:val="en-US"/>
        </w:rPr>
        <w:t xml:space="preserve"> 3G Capital and Berkshire Hathaway emphasized that Heinz would operate as a standalone subsidiary post-acquisition. This included retaining its existing management team (e.g., appointing Bernardo Hees, former Burger King CEO, as Heinz’s new CEO) and maintaining its brand identity. The "pure food company" positioning (as stated in Heinz’s mission) was prioritized to avoid diluting its heritage.</w:t>
      </w:r>
    </w:p>
    <w:p w14:paraId="325C7694" w14:textId="77777777" w:rsidR="007E64DC" w:rsidRPr="007E64DC" w:rsidRDefault="007E64DC" w:rsidP="007E64DC">
      <w:pPr>
        <w:pStyle w:val="ListParagraph"/>
        <w:widowControl w:val="0"/>
        <w:numPr>
          <w:ilvl w:val="0"/>
          <w:numId w:val="12"/>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 xml:space="preserve">Lack of Strategic Overlap: </w:t>
      </w:r>
      <w:r w:rsidRPr="007E64DC">
        <w:rPr>
          <w:rFonts w:ascii="Times New Roman" w:eastAsia="KaiTi" w:hAnsi="Times New Roman" w:cs="Times New Roman"/>
          <w:color w:val="000000" w:themeColor="text1"/>
          <w:lang w:val="en-US"/>
        </w:rPr>
        <w:t>Despite Berkshire’s ownership of complementary brands like See’s Candies and 3G’s stake in Burger King, the firms concluded that cross-industry synergies were minimal. For example: Heinz’s high-margin, slow-moving consumer goods (e.g., ketchup, baby formula) contrasted with 3G’s focus on fast-food efficiency (high-volume, low-cost operations). Cultural differences in product development (e.g., Heinz’s premium branding vs. 3G’s cost-cutting ethos) made integration risky.</w:t>
      </w:r>
    </w:p>
    <w:p w14:paraId="203DD426" w14:textId="40D5D261" w:rsidR="007E64DC" w:rsidRPr="007E64DC" w:rsidRDefault="007E64DC" w:rsidP="007E64DC">
      <w:pPr>
        <w:pStyle w:val="ListParagraph"/>
        <w:widowControl w:val="0"/>
        <w:numPr>
          <w:ilvl w:val="0"/>
          <w:numId w:val="12"/>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Financial Leverage as an Alternative:</w:t>
      </w:r>
      <w:r w:rsidRPr="007E64DC">
        <w:rPr>
          <w:rFonts w:ascii="Times New Roman" w:eastAsia="KaiTi" w:hAnsi="Times New Roman" w:cs="Times New Roman"/>
          <w:color w:val="000000" w:themeColor="text1"/>
          <w:lang w:val="en-US"/>
        </w:rPr>
        <w:t xml:space="preserve"> 3G’s typical strategy involves aggressive cost-cutting (e.g., factory closures, layoffs) to boost margins. However, Heinz already boasted strong operational metrics pre-acquisition (e.g., 17.3% EBITDA margins in 2012, above the food industry average of ~8.5%). The acquirers likely viewed further margin expansion through synergies as unnecessary.</w:t>
      </w:r>
    </w:p>
    <w:p w14:paraId="7F007B1C" w14:textId="77777777" w:rsidR="007E64DC" w:rsidRPr="007E64DC" w:rsidRDefault="007E64DC" w:rsidP="007E64DC">
      <w:pPr>
        <w:spacing w:line="360" w:lineRule="auto"/>
        <w:rPr>
          <w:rFonts w:eastAsia="KaiTi"/>
          <w:i/>
          <w:iCs/>
          <w:color w:val="000000" w:themeColor="text1"/>
          <w:u w:val="single"/>
          <w:lang w:val="en-US"/>
        </w:rPr>
      </w:pPr>
      <w:r w:rsidRPr="007E64DC">
        <w:rPr>
          <w:rFonts w:eastAsia="KaiTi"/>
          <w:i/>
          <w:iCs/>
          <w:color w:val="000000" w:themeColor="text1"/>
          <w:u w:val="single"/>
          <w:lang w:val="en-US"/>
        </w:rPr>
        <w:t>2. Potential Synergies That Could Have Been Realized</w:t>
      </w:r>
    </w:p>
    <w:p w14:paraId="507FE20C" w14:textId="77777777" w:rsidR="007E64DC" w:rsidRPr="007E64DC" w:rsidRDefault="007E64DC" w:rsidP="007E64DC">
      <w:pPr>
        <w:spacing w:line="360" w:lineRule="auto"/>
        <w:rPr>
          <w:rFonts w:eastAsia="KaiTi"/>
          <w:color w:val="000000" w:themeColor="text1"/>
          <w:lang w:val="en-US"/>
        </w:rPr>
      </w:pPr>
      <w:r w:rsidRPr="007E64DC">
        <w:rPr>
          <w:rFonts w:eastAsia="KaiTi"/>
          <w:color w:val="000000" w:themeColor="text1"/>
          <w:lang w:val="en-US"/>
        </w:rPr>
        <w:t>While publicly dismissed, several synergies existed in theory:</w:t>
      </w:r>
    </w:p>
    <w:p w14:paraId="550FD062" w14:textId="77777777" w:rsidR="007E64DC" w:rsidRPr="008B35CF" w:rsidRDefault="007E64DC" w:rsidP="007E64DC">
      <w:pPr>
        <w:spacing w:line="360" w:lineRule="auto"/>
        <w:rPr>
          <w:rFonts w:eastAsia="KaiTi"/>
          <w:color w:val="000000" w:themeColor="text1"/>
        </w:rPr>
      </w:pPr>
      <w:r w:rsidRPr="008B35CF">
        <w:rPr>
          <w:rFonts w:eastAsia="KaiTi"/>
          <w:color w:val="000000" w:themeColor="text1"/>
        </w:rPr>
        <w:t>(1) Cost-Side Synergies</w:t>
      </w:r>
      <w:r>
        <w:rPr>
          <w:rFonts w:eastAsia="KaiTi"/>
          <w:color w:val="000000" w:themeColor="text1"/>
        </w:rPr>
        <w:t>:</w:t>
      </w:r>
    </w:p>
    <w:p w14:paraId="5ABA1A43" w14:textId="77777777" w:rsidR="007E64DC" w:rsidRPr="007E64DC" w:rsidRDefault="007E64DC" w:rsidP="007E64DC">
      <w:pPr>
        <w:pStyle w:val="ListParagraph"/>
        <w:widowControl w:val="0"/>
        <w:numPr>
          <w:ilvl w:val="0"/>
          <w:numId w:val="13"/>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Supply Chain Consolidation:</w:t>
      </w:r>
      <w:r w:rsidRPr="007E64DC">
        <w:rPr>
          <w:rFonts w:ascii="Times New Roman" w:eastAsia="KaiTi" w:hAnsi="Times New Roman" w:cs="Times New Roman"/>
          <w:color w:val="000000" w:themeColor="text1"/>
          <w:lang w:val="en-US"/>
        </w:rPr>
        <w:t xml:space="preserve"> Heinz’s global production network (57 countries) could have shared logistics and procurement with 3G-backed firms (e.g., Burger King’s food suppliers), leveraging scale to reduce raw material costs.</w:t>
      </w:r>
    </w:p>
    <w:p w14:paraId="308E744D" w14:textId="77777777" w:rsidR="007E64DC" w:rsidRPr="007E64DC" w:rsidRDefault="007E64DC" w:rsidP="007E64DC">
      <w:pPr>
        <w:pStyle w:val="ListParagraph"/>
        <w:widowControl w:val="0"/>
        <w:numPr>
          <w:ilvl w:val="0"/>
          <w:numId w:val="13"/>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Plant Optimization:</w:t>
      </w:r>
      <w:r w:rsidRPr="007E64DC">
        <w:rPr>
          <w:rFonts w:ascii="Times New Roman" w:eastAsia="KaiTi" w:hAnsi="Times New Roman" w:cs="Times New Roman"/>
          <w:color w:val="000000" w:themeColor="text1"/>
          <w:lang w:val="en-US"/>
        </w:rPr>
        <w:t xml:space="preserve"> Closing underutilized U.S. plants (as Heinz did in 2006) and shifting production to lower-cost emerging markets (where Heinz sales grew 108% in 2012) could have cut expenses.</w:t>
      </w:r>
    </w:p>
    <w:p w14:paraId="64108064" w14:textId="77777777" w:rsidR="007E64DC" w:rsidRPr="00747D47" w:rsidRDefault="007E64DC" w:rsidP="007E64DC">
      <w:pPr>
        <w:spacing w:line="360" w:lineRule="auto"/>
        <w:rPr>
          <w:rFonts w:eastAsia="KaiTi"/>
          <w:color w:val="000000" w:themeColor="text1"/>
        </w:rPr>
      </w:pPr>
      <w:r w:rsidRPr="00747D47">
        <w:rPr>
          <w:rFonts w:eastAsia="KaiTi"/>
          <w:color w:val="000000" w:themeColor="text1"/>
        </w:rPr>
        <w:t>(2) Revenue-Side Synergies</w:t>
      </w:r>
    </w:p>
    <w:p w14:paraId="681A7509" w14:textId="77777777" w:rsidR="007E64DC" w:rsidRPr="007E64DC" w:rsidRDefault="007E64DC" w:rsidP="007E64DC">
      <w:pPr>
        <w:pStyle w:val="ListParagraph"/>
        <w:widowControl w:val="0"/>
        <w:numPr>
          <w:ilvl w:val="0"/>
          <w:numId w:val="14"/>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Cross-Selling Opportunities:</w:t>
      </w:r>
      <w:r w:rsidRPr="007E64DC">
        <w:rPr>
          <w:rFonts w:ascii="Times New Roman" w:eastAsia="KaiTi" w:hAnsi="Times New Roman" w:cs="Times New Roman"/>
          <w:color w:val="000000" w:themeColor="text1"/>
          <w:lang w:val="en-US"/>
        </w:rPr>
        <w:t xml:space="preserve"> Berkshire’s foodservice brands (e.g., Dairy Queen) could have bundled Heinz condiments into meal deals, while Heinz’s infant nutrition products might have </w:t>
      </w:r>
      <w:r w:rsidRPr="007E64DC">
        <w:rPr>
          <w:rFonts w:ascii="Times New Roman" w:eastAsia="KaiTi" w:hAnsi="Times New Roman" w:cs="Times New Roman"/>
          <w:color w:val="000000" w:themeColor="text1"/>
          <w:lang w:val="en-US"/>
        </w:rPr>
        <w:lastRenderedPageBreak/>
        <w:t>paired with 3G’s health-focused investments.</w:t>
      </w:r>
    </w:p>
    <w:p w14:paraId="5A08CC02" w14:textId="77777777" w:rsidR="007E64DC" w:rsidRPr="007E64DC" w:rsidRDefault="007E64DC" w:rsidP="007E64DC">
      <w:pPr>
        <w:pStyle w:val="ListParagraph"/>
        <w:widowControl w:val="0"/>
        <w:numPr>
          <w:ilvl w:val="0"/>
          <w:numId w:val="14"/>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Emerging Market Penetration:</w:t>
      </w:r>
      <w:r w:rsidRPr="007E64DC">
        <w:rPr>
          <w:rFonts w:ascii="Times New Roman" w:eastAsia="KaiTi" w:hAnsi="Times New Roman" w:cs="Times New Roman"/>
          <w:color w:val="000000" w:themeColor="text1"/>
          <w:lang w:val="en-US"/>
        </w:rPr>
        <w:t xml:space="preserve"> Leveraging Heinz’s established distribution in high-growth regions (e.g., India, China) for 3G’s portfolio companies (e.g., Burger King) could have accelerated market entry.</w:t>
      </w:r>
    </w:p>
    <w:p w14:paraId="1E875E97" w14:textId="77777777" w:rsidR="007E64DC" w:rsidRPr="004C014C" w:rsidRDefault="007E64DC" w:rsidP="007E64DC">
      <w:pPr>
        <w:spacing w:line="360" w:lineRule="auto"/>
        <w:rPr>
          <w:rFonts w:eastAsia="KaiTi"/>
          <w:color w:val="000000" w:themeColor="text1"/>
        </w:rPr>
      </w:pPr>
      <w:r w:rsidRPr="004C014C">
        <w:rPr>
          <w:rFonts w:eastAsia="KaiTi"/>
          <w:color w:val="000000" w:themeColor="text1"/>
        </w:rPr>
        <w:t>(3) Management/Operational Synergies</w:t>
      </w:r>
    </w:p>
    <w:p w14:paraId="4A4495FB" w14:textId="77777777" w:rsidR="007E64DC" w:rsidRPr="007E64DC" w:rsidRDefault="007E64DC" w:rsidP="007E64DC">
      <w:pPr>
        <w:pStyle w:val="ListParagraph"/>
        <w:widowControl w:val="0"/>
        <w:numPr>
          <w:ilvl w:val="0"/>
          <w:numId w:val="15"/>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Zero-Based Budgeting:</w:t>
      </w:r>
      <w:r w:rsidRPr="007E64DC">
        <w:rPr>
          <w:rFonts w:ascii="Times New Roman" w:eastAsia="KaiTi" w:hAnsi="Times New Roman" w:cs="Times New Roman"/>
          <w:color w:val="000000" w:themeColor="text1"/>
          <w:lang w:val="en-US"/>
        </w:rPr>
        <w:t xml:space="preserve"> 3G’s cost-control methodology might have streamlined Heinz’s marketing spend (industry average 15% of revenue) or administrative overhead.</w:t>
      </w:r>
    </w:p>
    <w:p w14:paraId="443A90D4" w14:textId="77777777" w:rsidR="007E64DC" w:rsidRPr="007E64DC" w:rsidRDefault="007E64DC" w:rsidP="007E64DC">
      <w:pPr>
        <w:pStyle w:val="ListParagraph"/>
        <w:widowControl w:val="0"/>
        <w:numPr>
          <w:ilvl w:val="0"/>
          <w:numId w:val="15"/>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Digital Transformation:</w:t>
      </w:r>
      <w:r w:rsidRPr="007E64DC">
        <w:rPr>
          <w:rFonts w:ascii="Times New Roman" w:eastAsia="KaiTi" w:hAnsi="Times New Roman" w:cs="Times New Roman"/>
          <w:color w:val="000000" w:themeColor="text1"/>
          <w:lang w:val="en-US"/>
        </w:rPr>
        <w:t xml:space="preserve"> Berkshire’s tech investments (e.g., cloud services) could have modernized Heinz’s supply chain analytics to mitigate currency risks highlighted in the case.</w:t>
      </w:r>
    </w:p>
    <w:p w14:paraId="15D2FC45" w14:textId="77777777" w:rsidR="007E64DC" w:rsidRPr="008365F6" w:rsidRDefault="007E64DC" w:rsidP="007E64DC">
      <w:pPr>
        <w:spacing w:line="360" w:lineRule="auto"/>
        <w:rPr>
          <w:rFonts w:eastAsia="KaiTi"/>
          <w:color w:val="000000" w:themeColor="text1"/>
        </w:rPr>
      </w:pPr>
      <w:r w:rsidRPr="008365F6">
        <w:rPr>
          <w:rFonts w:eastAsia="KaiTi"/>
          <w:color w:val="000000" w:themeColor="text1"/>
        </w:rPr>
        <w:t>(4) Financial Synergies</w:t>
      </w:r>
    </w:p>
    <w:p w14:paraId="5A24A214" w14:textId="77777777" w:rsidR="007E64DC" w:rsidRPr="007E64DC" w:rsidRDefault="007E64DC" w:rsidP="007E64DC">
      <w:pPr>
        <w:pStyle w:val="ListParagraph"/>
        <w:widowControl w:val="0"/>
        <w:numPr>
          <w:ilvl w:val="0"/>
          <w:numId w:val="16"/>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Debt Restructuring:</w:t>
      </w:r>
      <w:r w:rsidRPr="007E64DC">
        <w:rPr>
          <w:rFonts w:ascii="Times New Roman" w:eastAsia="KaiTi" w:hAnsi="Times New Roman" w:cs="Times New Roman"/>
          <w:color w:val="000000" w:themeColor="text1"/>
          <w:lang w:val="en-US"/>
        </w:rPr>
        <w:t xml:space="preserve"> Replacing Heinz’s $4.78 billion debt (2012 figure) with Berkshire’s cheaper capital (e.g., AAA-rated bonds at 2.2% in 2012) could have saved tens of millions annually.</w:t>
      </w:r>
    </w:p>
    <w:p w14:paraId="4A6AD040" w14:textId="77777777" w:rsidR="007E64DC" w:rsidRPr="007E64DC" w:rsidRDefault="007E64DC" w:rsidP="007E64DC">
      <w:pPr>
        <w:pStyle w:val="ListParagraph"/>
        <w:widowControl w:val="0"/>
        <w:numPr>
          <w:ilvl w:val="0"/>
          <w:numId w:val="16"/>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b/>
          <w:bCs/>
          <w:color w:val="000000" w:themeColor="text1"/>
          <w:lang w:val="en-US"/>
        </w:rPr>
        <w:t>Tax Optimization:</w:t>
      </w:r>
      <w:r w:rsidRPr="007E64DC">
        <w:rPr>
          <w:rFonts w:ascii="Times New Roman" w:eastAsia="KaiTi" w:hAnsi="Times New Roman" w:cs="Times New Roman"/>
          <w:color w:val="000000" w:themeColor="text1"/>
          <w:lang w:val="en-US"/>
        </w:rPr>
        <w:t xml:space="preserve"> Relocating Heinz’s headquarters to Delaware (Berkshire’s base) might have slashed corporate taxes (Delaware’s rate: 8.7% vs. Pennsylvania’s 9.99%).</w:t>
      </w:r>
    </w:p>
    <w:p w14:paraId="7EC4122B" w14:textId="77777777" w:rsidR="007E64DC" w:rsidRPr="007E64DC" w:rsidRDefault="007E64DC" w:rsidP="007E64DC">
      <w:pPr>
        <w:rPr>
          <w:rFonts w:eastAsia="KaiTi"/>
          <w:b/>
          <w:bCs/>
          <w:i/>
          <w:iCs/>
          <w:color w:val="000000" w:themeColor="text1"/>
          <w:lang w:val="en-US"/>
        </w:rPr>
      </w:pPr>
      <w:r w:rsidRPr="007E64DC">
        <w:rPr>
          <w:rFonts w:eastAsia="KaiTi"/>
          <w:b/>
          <w:bCs/>
          <w:i/>
          <w:iCs/>
          <w:color w:val="000000" w:themeColor="text1"/>
          <w:lang w:val="en-US"/>
        </w:rPr>
        <w:br w:type="page"/>
      </w:r>
    </w:p>
    <w:p w14:paraId="42FA038B" w14:textId="77777777" w:rsidR="007E64DC" w:rsidRPr="007E64DC" w:rsidRDefault="007E64DC" w:rsidP="007E64DC">
      <w:pPr>
        <w:spacing w:line="360" w:lineRule="auto"/>
        <w:rPr>
          <w:rFonts w:eastAsia="KaiTi"/>
          <w:color w:val="000000" w:themeColor="text1"/>
          <w:lang w:val="en-US"/>
        </w:rPr>
      </w:pPr>
      <w:r w:rsidRPr="007E64DC">
        <w:rPr>
          <w:rFonts w:eastAsia="KaiTi"/>
          <w:b/>
          <w:bCs/>
          <w:i/>
          <w:iCs/>
          <w:color w:val="000000" w:themeColor="text1"/>
          <w:lang w:val="en-US"/>
        </w:rPr>
        <w:lastRenderedPageBreak/>
        <w:t>Question 5.</w:t>
      </w:r>
      <w:r w:rsidRPr="007E64DC">
        <w:rPr>
          <w:rFonts w:eastAsia="KaiTi"/>
          <w:i/>
          <w:iCs/>
          <w:color w:val="000000" w:themeColor="text1"/>
          <w:lang w:val="en-US"/>
        </w:rPr>
        <w:t xml:space="preserve"> </w:t>
      </w:r>
      <w:r w:rsidRPr="007E64DC">
        <w:rPr>
          <w:rFonts w:eastAsia="KaiTi"/>
          <w:color w:val="000000" w:themeColor="text1"/>
          <w:lang w:val="en-US"/>
        </w:rPr>
        <w:t>What was the market reaction to the acquisition announcement, including share price and equity analyst commentary?</w:t>
      </w:r>
    </w:p>
    <w:p w14:paraId="0C66B228" w14:textId="77777777" w:rsidR="007E64DC" w:rsidRPr="007E64DC" w:rsidRDefault="007E64DC" w:rsidP="007E64DC">
      <w:pPr>
        <w:spacing w:line="360" w:lineRule="auto"/>
        <w:rPr>
          <w:rFonts w:eastAsia="KaiTi"/>
          <w:color w:val="000000" w:themeColor="text1"/>
          <w:lang w:val="en-US"/>
        </w:rPr>
      </w:pPr>
      <w:r w:rsidRPr="007E64DC">
        <w:rPr>
          <w:rFonts w:eastAsia="KaiTi"/>
          <w:b/>
          <w:bCs/>
          <w:i/>
          <w:iCs/>
          <w:color w:val="000000" w:themeColor="text1"/>
          <w:lang w:val="en-US"/>
        </w:rPr>
        <w:t xml:space="preserve">Answer: </w:t>
      </w:r>
      <w:r w:rsidRPr="007E64DC">
        <w:rPr>
          <w:rFonts w:eastAsia="KaiTi"/>
          <w:color w:val="000000" w:themeColor="text1"/>
          <w:lang w:val="en-US"/>
        </w:rPr>
        <w:t>The market responded positively to Berkshire Hathaway and 3G Capital's announced acquisition of H.J. Heinz, reflected in a rising share price and favorable analyst commentary.</w:t>
      </w:r>
    </w:p>
    <w:p w14:paraId="5ACD6705" w14:textId="77777777" w:rsidR="007E64DC" w:rsidRPr="007E64DC" w:rsidRDefault="007E64DC" w:rsidP="007E64DC">
      <w:pPr>
        <w:spacing w:line="360" w:lineRule="auto"/>
        <w:rPr>
          <w:rFonts w:eastAsia="KaiTi"/>
          <w:i/>
          <w:iCs/>
          <w:color w:val="000000" w:themeColor="text1"/>
          <w:u w:val="single"/>
          <w:lang w:val="en-US"/>
        </w:rPr>
      </w:pPr>
      <w:r w:rsidRPr="007E64DC">
        <w:rPr>
          <w:rFonts w:eastAsia="KaiTi"/>
          <w:i/>
          <w:iCs/>
          <w:color w:val="000000" w:themeColor="text1"/>
          <w:u w:val="single"/>
          <w:lang w:val="en-US"/>
        </w:rPr>
        <w:t>1. Share Price Reaction</w:t>
      </w:r>
    </w:p>
    <w:p w14:paraId="14F61764" w14:textId="77777777" w:rsidR="007E64DC" w:rsidRPr="007E64DC" w:rsidRDefault="007E64DC" w:rsidP="007E64DC">
      <w:pPr>
        <w:spacing w:line="360" w:lineRule="auto"/>
        <w:ind w:firstLine="420"/>
        <w:rPr>
          <w:rFonts w:eastAsia="KaiTi"/>
          <w:color w:val="000000" w:themeColor="text1"/>
          <w:lang w:val="en-US"/>
        </w:rPr>
      </w:pPr>
      <w:r w:rsidRPr="007E64DC">
        <w:rPr>
          <w:rFonts w:eastAsia="KaiTi"/>
          <w:color w:val="000000" w:themeColor="text1"/>
          <w:lang w:val="en-US"/>
        </w:rPr>
        <w:t>Immediate Surge: As shown in Exhibit 1, Heinz’s stock price rose 19.9% on the announcement day (February 14, 2013), jumping from $60.48 (previous close) to the acquisition price of $72.50 per share. This sharp increase reflected investor approval of the premium and the credibility of the buyers (Berkshire Hathaway and 3G Capital).</w:t>
      </w:r>
    </w:p>
    <w:p w14:paraId="3FEC125F" w14:textId="77777777" w:rsidR="007E64DC" w:rsidRPr="004D3E28" w:rsidRDefault="007E64DC" w:rsidP="007E64DC">
      <w:pPr>
        <w:spacing w:line="360" w:lineRule="auto"/>
        <w:rPr>
          <w:rFonts w:eastAsia="KaiTi"/>
          <w:i/>
          <w:iCs/>
          <w:color w:val="000000" w:themeColor="text1"/>
          <w:u w:val="single"/>
        </w:rPr>
      </w:pPr>
      <w:r>
        <w:rPr>
          <w:rFonts w:eastAsia="KaiTi"/>
          <w:i/>
          <w:iCs/>
          <w:color w:val="000000" w:themeColor="text1"/>
          <w:u w:val="single"/>
        </w:rPr>
        <w:t xml:space="preserve">2. </w:t>
      </w:r>
      <w:r w:rsidRPr="004D3E28">
        <w:rPr>
          <w:rFonts w:eastAsia="KaiTi"/>
          <w:i/>
          <w:iCs/>
          <w:color w:val="000000" w:themeColor="text1"/>
          <w:u w:val="single"/>
        </w:rPr>
        <w:t>Equity Analyst Commentary</w:t>
      </w:r>
    </w:p>
    <w:p w14:paraId="5E89A572" w14:textId="77777777" w:rsidR="007E64DC" w:rsidRPr="003B58FC" w:rsidRDefault="007E64DC" w:rsidP="007E64DC">
      <w:pPr>
        <w:pStyle w:val="ListParagraph"/>
        <w:widowControl w:val="0"/>
        <w:numPr>
          <w:ilvl w:val="0"/>
          <w:numId w:val="17"/>
        </w:numPr>
        <w:spacing w:line="360" w:lineRule="auto"/>
        <w:jc w:val="both"/>
        <w:rPr>
          <w:rFonts w:ascii="Times New Roman" w:eastAsia="KaiTi" w:hAnsi="Times New Roman" w:cs="Times New Roman"/>
          <w:color w:val="000000" w:themeColor="text1"/>
        </w:rPr>
      </w:pPr>
      <w:r w:rsidRPr="003B58FC">
        <w:rPr>
          <w:rFonts w:ascii="Times New Roman" w:eastAsia="KaiTi" w:hAnsi="Times New Roman" w:cs="Times New Roman"/>
          <w:color w:val="000000" w:themeColor="text1"/>
        </w:rPr>
        <w:t>Morningstar (Erin Lash):</w:t>
      </w:r>
    </w:p>
    <w:p w14:paraId="619CE592" w14:textId="77777777" w:rsidR="007E64DC" w:rsidRPr="007E64DC" w:rsidRDefault="007E64DC" w:rsidP="007E64DC">
      <w:pPr>
        <w:pStyle w:val="ListParagraph"/>
        <w:widowControl w:val="0"/>
        <w:numPr>
          <w:ilvl w:val="1"/>
          <w:numId w:val="17"/>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color w:val="000000" w:themeColor="text1"/>
          <w:lang w:val="en-US"/>
        </w:rPr>
        <w:t>Key Quote: "This is a fabulous deal for Heinz shareholders, representing a nearly 30% premium to our stand-alone $56 fair value estimate."</w:t>
      </w:r>
    </w:p>
    <w:p w14:paraId="5B20061A" w14:textId="77777777" w:rsidR="007E64DC" w:rsidRPr="007E64DC" w:rsidRDefault="007E64DC" w:rsidP="007E64DC">
      <w:pPr>
        <w:pStyle w:val="ListParagraph"/>
        <w:widowControl w:val="0"/>
        <w:numPr>
          <w:ilvl w:val="1"/>
          <w:numId w:val="17"/>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color w:val="000000" w:themeColor="text1"/>
          <w:lang w:val="en-US"/>
        </w:rPr>
        <w:t>Assessment: Deemed the transaction "financially attractive" and anticipated no regulatory roadblocks.</w:t>
      </w:r>
    </w:p>
    <w:p w14:paraId="7696FB25" w14:textId="77777777" w:rsidR="007E64DC" w:rsidRPr="007E64DC" w:rsidRDefault="007E64DC" w:rsidP="007E64DC">
      <w:pPr>
        <w:pStyle w:val="ListParagraph"/>
        <w:widowControl w:val="0"/>
        <w:numPr>
          <w:ilvl w:val="0"/>
          <w:numId w:val="17"/>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color w:val="000000" w:themeColor="text1"/>
          <w:lang w:val="en-US"/>
        </w:rPr>
        <w:t>RBC Capital Markets (Edward Aaron):</w:t>
      </w:r>
    </w:p>
    <w:p w14:paraId="192DA345" w14:textId="77777777" w:rsidR="007E64DC" w:rsidRPr="007E64DC" w:rsidRDefault="007E64DC" w:rsidP="007E64DC">
      <w:pPr>
        <w:pStyle w:val="ListParagraph"/>
        <w:widowControl w:val="0"/>
        <w:numPr>
          <w:ilvl w:val="1"/>
          <w:numId w:val="17"/>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color w:val="000000" w:themeColor="text1"/>
          <w:lang w:val="en-US"/>
        </w:rPr>
        <w:t>Key Quote: "We view this acquisition as a good deal... considering the rich multiple paid, especially for a financial transaction."</w:t>
      </w:r>
    </w:p>
    <w:p w14:paraId="06DD460B" w14:textId="77777777" w:rsidR="007E64DC" w:rsidRPr="003B58FC" w:rsidRDefault="007E64DC" w:rsidP="007E64DC">
      <w:pPr>
        <w:pStyle w:val="ListParagraph"/>
        <w:widowControl w:val="0"/>
        <w:numPr>
          <w:ilvl w:val="1"/>
          <w:numId w:val="17"/>
        </w:numPr>
        <w:spacing w:line="360" w:lineRule="auto"/>
        <w:jc w:val="both"/>
        <w:rPr>
          <w:rFonts w:ascii="Times New Roman" w:eastAsia="KaiTi" w:hAnsi="Times New Roman" w:cs="Times New Roman"/>
          <w:color w:val="000000" w:themeColor="text1"/>
        </w:rPr>
      </w:pPr>
      <w:r w:rsidRPr="007E64DC">
        <w:rPr>
          <w:rFonts w:ascii="Times New Roman" w:eastAsia="KaiTi" w:hAnsi="Times New Roman" w:cs="Times New Roman"/>
          <w:color w:val="000000" w:themeColor="text1"/>
          <w:lang w:val="en-US"/>
        </w:rPr>
        <w:t xml:space="preserve">Assessment: Praised the premium but noted Heinz’s "challenged fundamentals" (e.g., minimal EBIT growth). </w:t>
      </w:r>
      <w:r w:rsidRPr="003B58FC">
        <w:rPr>
          <w:rFonts w:ascii="Times New Roman" w:eastAsia="KaiTi" w:hAnsi="Times New Roman" w:cs="Times New Roman"/>
          <w:color w:val="000000" w:themeColor="text1"/>
        </w:rPr>
        <w:t>Highlighted positive implications for the broader packaged foods sector.</w:t>
      </w:r>
    </w:p>
    <w:p w14:paraId="71D4BB68" w14:textId="77777777" w:rsidR="007E64DC" w:rsidRDefault="007E64DC" w:rsidP="007E64DC">
      <w:pPr>
        <w:pStyle w:val="ListParagraph"/>
        <w:widowControl w:val="0"/>
        <w:numPr>
          <w:ilvl w:val="0"/>
          <w:numId w:val="17"/>
        </w:numPr>
        <w:spacing w:line="360" w:lineRule="auto"/>
        <w:jc w:val="both"/>
        <w:rPr>
          <w:rFonts w:ascii="Times New Roman" w:eastAsia="KaiTi" w:hAnsi="Times New Roman" w:cs="Times New Roman"/>
          <w:color w:val="000000" w:themeColor="text1"/>
        </w:rPr>
      </w:pPr>
      <w:r w:rsidRPr="003B58FC">
        <w:rPr>
          <w:rFonts w:ascii="Times New Roman" w:eastAsia="KaiTi" w:hAnsi="Times New Roman" w:cs="Times New Roman"/>
          <w:color w:val="000000" w:themeColor="text1"/>
        </w:rPr>
        <w:t>Credit Suisse (Robert Moskow):</w:t>
      </w:r>
    </w:p>
    <w:p w14:paraId="09267374" w14:textId="77777777" w:rsidR="007E64DC" w:rsidRDefault="007E64DC" w:rsidP="007E64DC">
      <w:pPr>
        <w:pStyle w:val="ListParagraph"/>
        <w:widowControl w:val="0"/>
        <w:numPr>
          <w:ilvl w:val="1"/>
          <w:numId w:val="17"/>
        </w:numPr>
        <w:spacing w:line="360" w:lineRule="auto"/>
        <w:jc w:val="both"/>
        <w:rPr>
          <w:rFonts w:ascii="Times New Roman" w:eastAsia="KaiTi" w:hAnsi="Times New Roman" w:cs="Times New Roman"/>
          <w:color w:val="000000" w:themeColor="text1"/>
        </w:rPr>
      </w:pPr>
      <w:r w:rsidRPr="007E64DC">
        <w:rPr>
          <w:rFonts w:ascii="Times New Roman" w:eastAsia="KaiTi" w:hAnsi="Times New Roman" w:cs="Times New Roman"/>
          <w:color w:val="000000" w:themeColor="text1"/>
          <w:lang w:val="en-US"/>
        </w:rPr>
        <w:t xml:space="preserve">Key Quote: "Low borrowing costs give private equity firepower... </w:t>
      </w:r>
      <w:r w:rsidRPr="00D01A71">
        <w:rPr>
          <w:rFonts w:ascii="Times New Roman" w:eastAsia="KaiTi" w:hAnsi="Times New Roman" w:cs="Times New Roman"/>
          <w:color w:val="000000" w:themeColor="text1"/>
        </w:rPr>
        <w:t>[Heinz’s] strong cash flows allow for high financial leverage."</w:t>
      </w:r>
    </w:p>
    <w:p w14:paraId="4CEB1830" w14:textId="26E2FEB4" w:rsidR="00BF4CA2" w:rsidRPr="002B536F" w:rsidRDefault="007E64DC" w:rsidP="002B536F">
      <w:pPr>
        <w:pStyle w:val="ListParagraph"/>
        <w:widowControl w:val="0"/>
        <w:numPr>
          <w:ilvl w:val="1"/>
          <w:numId w:val="17"/>
        </w:numPr>
        <w:spacing w:line="360" w:lineRule="auto"/>
        <w:jc w:val="both"/>
        <w:rPr>
          <w:rFonts w:ascii="Times New Roman" w:eastAsia="KaiTi" w:hAnsi="Times New Roman" w:cs="Times New Roman"/>
          <w:color w:val="000000" w:themeColor="text1"/>
          <w:lang w:val="en-US"/>
        </w:rPr>
      </w:pPr>
      <w:r w:rsidRPr="007E64DC">
        <w:rPr>
          <w:rFonts w:ascii="Times New Roman" w:eastAsia="KaiTi" w:hAnsi="Times New Roman" w:cs="Times New Roman"/>
          <w:color w:val="000000" w:themeColor="text1"/>
          <w:lang w:val="en-US"/>
        </w:rPr>
        <w:t>Assessment: Emphasized Berkshire’s involvement as a validation of Heinz’s brand strength and cash flow discipline. Doubted rival bids due to the deal’s scale ($28B) and the consortium’s financial capacity. Noted potential for margin expansion from Heinz’s emerging markets growth and IT investments.</w:t>
      </w:r>
    </w:p>
    <w:sectPr w:rsidR="00BF4CA2" w:rsidRPr="002B536F" w:rsidSect="008B7000">
      <w:pgSz w:w="11906" w:h="16838"/>
      <w:pgMar w:top="1134" w:right="1134"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4370"/>
    <w:multiLevelType w:val="hybridMultilevel"/>
    <w:tmpl w:val="EAAA1256"/>
    <w:lvl w:ilvl="0" w:tplc="6ECE6B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279F3"/>
    <w:multiLevelType w:val="hybridMultilevel"/>
    <w:tmpl w:val="CBBA1374"/>
    <w:lvl w:ilvl="0" w:tplc="040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013A5D"/>
    <w:multiLevelType w:val="hybridMultilevel"/>
    <w:tmpl w:val="2E049F6E"/>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10EBB"/>
    <w:multiLevelType w:val="hybridMultilevel"/>
    <w:tmpl w:val="ADA4F4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F73E7F"/>
    <w:multiLevelType w:val="hybridMultilevel"/>
    <w:tmpl w:val="6AFCAA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8A37AC"/>
    <w:multiLevelType w:val="hybridMultilevel"/>
    <w:tmpl w:val="1262A8B4"/>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61367"/>
    <w:multiLevelType w:val="hybridMultilevel"/>
    <w:tmpl w:val="18E805CA"/>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D3230B"/>
    <w:multiLevelType w:val="hybridMultilevel"/>
    <w:tmpl w:val="0F30F502"/>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86063"/>
    <w:multiLevelType w:val="multilevel"/>
    <w:tmpl w:val="13E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016D2"/>
    <w:multiLevelType w:val="hybridMultilevel"/>
    <w:tmpl w:val="CFE88120"/>
    <w:lvl w:ilvl="0" w:tplc="FAC4E09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CC0264A"/>
    <w:multiLevelType w:val="hybridMultilevel"/>
    <w:tmpl w:val="A056B5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F404A9"/>
    <w:multiLevelType w:val="multilevel"/>
    <w:tmpl w:val="041AC9CC"/>
    <w:lvl w:ilvl="0">
      <w:start w:val="1"/>
      <w:numFmt w:val="bullet"/>
      <w:lvlText w:val=""/>
      <w:lvlJc w:val="left"/>
      <w:pPr>
        <w:ind w:left="720" w:hanging="360"/>
      </w:pPr>
      <w:rPr>
        <w:rFonts w:ascii="Wingdings" w:hAnsi="Wingdings" w:hint="default"/>
      </w:rPr>
    </w:lvl>
    <w:lvl w:ilvl="1">
      <w:start w:val="2"/>
      <w:numFmt w:val="decimal"/>
      <w:isLgl/>
      <w:lvlText w:val="%1.%2."/>
      <w:lvlJc w:val="left"/>
      <w:pPr>
        <w:ind w:left="1080" w:hanging="720"/>
      </w:pPr>
      <w:rPr>
        <w:rFonts w:ascii="Times New Roman" w:eastAsia="Times New Roman" w:hAnsi="Times New Roman" w:cs="Times New Roman" w:hint="default"/>
      </w:rPr>
    </w:lvl>
    <w:lvl w:ilvl="2">
      <w:start w:val="1"/>
      <w:numFmt w:val="decimal"/>
      <w:isLgl/>
      <w:lvlText w:val="%1.%2.%3."/>
      <w:lvlJc w:val="left"/>
      <w:pPr>
        <w:ind w:left="1080" w:hanging="720"/>
      </w:pPr>
      <w:rPr>
        <w:rFonts w:ascii="Times New Roman" w:eastAsia="Times New Roman" w:hAnsi="Times New Roman" w:cs="Times New Roman" w:hint="default"/>
      </w:rPr>
    </w:lvl>
    <w:lvl w:ilvl="3">
      <w:start w:val="1"/>
      <w:numFmt w:val="decimal"/>
      <w:isLgl/>
      <w:lvlText w:val="%1.%2.%3.%4."/>
      <w:lvlJc w:val="left"/>
      <w:pPr>
        <w:ind w:left="1440" w:hanging="1080"/>
      </w:pPr>
      <w:rPr>
        <w:rFonts w:ascii="Times New Roman" w:eastAsia="Times New Roman" w:hAnsi="Times New Roman" w:cs="Times New Roman" w:hint="default"/>
      </w:rPr>
    </w:lvl>
    <w:lvl w:ilvl="4">
      <w:start w:val="1"/>
      <w:numFmt w:val="decimal"/>
      <w:isLgl/>
      <w:lvlText w:val="%1.%2.%3.%4.%5."/>
      <w:lvlJc w:val="left"/>
      <w:pPr>
        <w:ind w:left="1800" w:hanging="1440"/>
      </w:pPr>
      <w:rPr>
        <w:rFonts w:ascii="Times New Roman" w:eastAsia="Times New Roman" w:hAnsi="Times New Roman" w:cs="Times New Roman" w:hint="default"/>
      </w:rPr>
    </w:lvl>
    <w:lvl w:ilvl="5">
      <w:start w:val="1"/>
      <w:numFmt w:val="decimal"/>
      <w:isLgl/>
      <w:lvlText w:val="%1.%2.%3.%4.%5.%6."/>
      <w:lvlJc w:val="left"/>
      <w:pPr>
        <w:ind w:left="1800" w:hanging="1440"/>
      </w:pPr>
      <w:rPr>
        <w:rFonts w:ascii="Times New Roman" w:eastAsia="Times New Roman" w:hAnsi="Times New Roman" w:cs="Times New Roman" w:hint="default"/>
      </w:rPr>
    </w:lvl>
    <w:lvl w:ilvl="6">
      <w:start w:val="1"/>
      <w:numFmt w:val="decimal"/>
      <w:isLgl/>
      <w:lvlText w:val="%1.%2.%3.%4.%5.%6.%7."/>
      <w:lvlJc w:val="left"/>
      <w:pPr>
        <w:ind w:left="2160" w:hanging="1800"/>
      </w:pPr>
      <w:rPr>
        <w:rFonts w:ascii="Times New Roman" w:eastAsia="Times New Roman" w:hAnsi="Times New Roman" w:cs="Times New Roman" w:hint="default"/>
      </w:rPr>
    </w:lvl>
    <w:lvl w:ilvl="7">
      <w:start w:val="1"/>
      <w:numFmt w:val="decimal"/>
      <w:isLgl/>
      <w:lvlText w:val="%1.%2.%3.%4.%5.%6.%7.%8."/>
      <w:lvlJc w:val="left"/>
      <w:pPr>
        <w:ind w:left="2520" w:hanging="2160"/>
      </w:pPr>
      <w:rPr>
        <w:rFonts w:ascii="Times New Roman" w:eastAsia="Times New Roman" w:hAnsi="Times New Roman" w:cs="Times New Roman" w:hint="default"/>
      </w:rPr>
    </w:lvl>
    <w:lvl w:ilvl="8">
      <w:start w:val="1"/>
      <w:numFmt w:val="decimal"/>
      <w:isLgl/>
      <w:lvlText w:val="%1.%2.%3.%4.%5.%6.%7.%8.%9."/>
      <w:lvlJc w:val="left"/>
      <w:pPr>
        <w:ind w:left="2520" w:hanging="2160"/>
      </w:pPr>
      <w:rPr>
        <w:rFonts w:ascii="Times New Roman" w:eastAsia="Times New Roman" w:hAnsi="Times New Roman" w:cs="Times New Roman" w:hint="default"/>
      </w:rPr>
    </w:lvl>
  </w:abstractNum>
  <w:abstractNum w:abstractNumId="12" w15:restartNumberingAfterBreak="0">
    <w:nsid w:val="51E875D4"/>
    <w:multiLevelType w:val="multilevel"/>
    <w:tmpl w:val="235E53F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6F247B8"/>
    <w:multiLevelType w:val="hybridMultilevel"/>
    <w:tmpl w:val="630E7014"/>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3351D"/>
    <w:multiLevelType w:val="multilevel"/>
    <w:tmpl w:val="A1A6CC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FFC5668"/>
    <w:multiLevelType w:val="hybridMultilevel"/>
    <w:tmpl w:val="3C32A176"/>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1B6415"/>
    <w:multiLevelType w:val="hybridMultilevel"/>
    <w:tmpl w:val="18E805C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B386C59"/>
    <w:multiLevelType w:val="hybridMultilevel"/>
    <w:tmpl w:val="ABBE11AC"/>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844330">
    <w:abstractNumId w:val="8"/>
  </w:num>
  <w:num w:numId="2" w16cid:durableId="1262107399">
    <w:abstractNumId w:val="4"/>
  </w:num>
  <w:num w:numId="3" w16cid:durableId="1991981411">
    <w:abstractNumId w:val="3"/>
  </w:num>
  <w:num w:numId="4" w16cid:durableId="1023677933">
    <w:abstractNumId w:val="10"/>
  </w:num>
  <w:num w:numId="5" w16cid:durableId="7829816">
    <w:abstractNumId w:val="14"/>
  </w:num>
  <w:num w:numId="6" w16cid:durableId="1815948570">
    <w:abstractNumId w:val="12"/>
  </w:num>
  <w:num w:numId="7" w16cid:durableId="2078934596">
    <w:abstractNumId w:val="1"/>
  </w:num>
  <w:num w:numId="8" w16cid:durableId="131486413">
    <w:abstractNumId w:val="11"/>
  </w:num>
  <w:num w:numId="9" w16cid:durableId="2100131754">
    <w:abstractNumId w:val="16"/>
  </w:num>
  <w:num w:numId="10" w16cid:durableId="449471072">
    <w:abstractNumId w:val="6"/>
  </w:num>
  <w:num w:numId="11" w16cid:durableId="1356465153">
    <w:abstractNumId w:val="2"/>
  </w:num>
  <w:num w:numId="12" w16cid:durableId="465900386">
    <w:abstractNumId w:val="7"/>
  </w:num>
  <w:num w:numId="13" w16cid:durableId="857084875">
    <w:abstractNumId w:val="17"/>
  </w:num>
  <w:num w:numId="14" w16cid:durableId="164905233">
    <w:abstractNumId w:val="15"/>
  </w:num>
  <w:num w:numId="15" w16cid:durableId="1024162931">
    <w:abstractNumId w:val="5"/>
  </w:num>
  <w:num w:numId="16" w16cid:durableId="865631826">
    <w:abstractNumId w:val="13"/>
  </w:num>
  <w:num w:numId="17" w16cid:durableId="2060320892">
    <w:abstractNumId w:val="0"/>
  </w:num>
  <w:num w:numId="18" w16cid:durableId="10755904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708"/>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79"/>
    <w:rsid w:val="00024EE9"/>
    <w:rsid w:val="00045EF6"/>
    <w:rsid w:val="00066C18"/>
    <w:rsid w:val="000F5678"/>
    <w:rsid w:val="00110933"/>
    <w:rsid w:val="00141DCD"/>
    <w:rsid w:val="00144D9B"/>
    <w:rsid w:val="001713D7"/>
    <w:rsid w:val="001D41D0"/>
    <w:rsid w:val="001E238A"/>
    <w:rsid w:val="001F1F30"/>
    <w:rsid w:val="0021431D"/>
    <w:rsid w:val="0024183A"/>
    <w:rsid w:val="00262F44"/>
    <w:rsid w:val="002B536F"/>
    <w:rsid w:val="002B55AC"/>
    <w:rsid w:val="00315B0A"/>
    <w:rsid w:val="0031702E"/>
    <w:rsid w:val="00320CCA"/>
    <w:rsid w:val="0033044C"/>
    <w:rsid w:val="00331277"/>
    <w:rsid w:val="00335E39"/>
    <w:rsid w:val="00380369"/>
    <w:rsid w:val="00396F87"/>
    <w:rsid w:val="003B35F0"/>
    <w:rsid w:val="003C564C"/>
    <w:rsid w:val="003E1D78"/>
    <w:rsid w:val="003E410C"/>
    <w:rsid w:val="003F3EFC"/>
    <w:rsid w:val="004357B0"/>
    <w:rsid w:val="0046371B"/>
    <w:rsid w:val="00465C0C"/>
    <w:rsid w:val="004B0FA2"/>
    <w:rsid w:val="004B20FE"/>
    <w:rsid w:val="004C2882"/>
    <w:rsid w:val="004E486C"/>
    <w:rsid w:val="00526D9F"/>
    <w:rsid w:val="00531E58"/>
    <w:rsid w:val="005624F9"/>
    <w:rsid w:val="00564EC8"/>
    <w:rsid w:val="005A7630"/>
    <w:rsid w:val="005C092B"/>
    <w:rsid w:val="00635CF4"/>
    <w:rsid w:val="00636667"/>
    <w:rsid w:val="00652DFC"/>
    <w:rsid w:val="00664A13"/>
    <w:rsid w:val="00675F9A"/>
    <w:rsid w:val="0068595F"/>
    <w:rsid w:val="0069639D"/>
    <w:rsid w:val="006A1887"/>
    <w:rsid w:val="006A3E59"/>
    <w:rsid w:val="006B0D2E"/>
    <w:rsid w:val="007101E8"/>
    <w:rsid w:val="00716B3D"/>
    <w:rsid w:val="007226DB"/>
    <w:rsid w:val="00722726"/>
    <w:rsid w:val="00766FA4"/>
    <w:rsid w:val="007E64DC"/>
    <w:rsid w:val="008A1705"/>
    <w:rsid w:val="008B7000"/>
    <w:rsid w:val="008C4879"/>
    <w:rsid w:val="00931485"/>
    <w:rsid w:val="009A5219"/>
    <w:rsid w:val="00A371C2"/>
    <w:rsid w:val="00A46947"/>
    <w:rsid w:val="00A471E8"/>
    <w:rsid w:val="00A90859"/>
    <w:rsid w:val="00AB399C"/>
    <w:rsid w:val="00AE697C"/>
    <w:rsid w:val="00BF4CA2"/>
    <w:rsid w:val="00C01A4B"/>
    <w:rsid w:val="00C229A7"/>
    <w:rsid w:val="00C548F6"/>
    <w:rsid w:val="00C72160"/>
    <w:rsid w:val="00C90C6B"/>
    <w:rsid w:val="00CB7046"/>
    <w:rsid w:val="00CF1AEF"/>
    <w:rsid w:val="00D3516E"/>
    <w:rsid w:val="00DC2292"/>
    <w:rsid w:val="00E60FF7"/>
    <w:rsid w:val="00E70817"/>
    <w:rsid w:val="00E7570B"/>
    <w:rsid w:val="00EC0627"/>
    <w:rsid w:val="00ED6ECC"/>
    <w:rsid w:val="00EE3CFE"/>
    <w:rsid w:val="00EE7D40"/>
    <w:rsid w:val="00F13103"/>
    <w:rsid w:val="00F23F82"/>
    <w:rsid w:val="00F7629B"/>
    <w:rsid w:val="00F84AE3"/>
    <w:rsid w:val="00FC12DA"/>
    <w:rsid w:val="00FE0811"/>
    <w:rsid w:val="00FE53CA"/>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6F595"/>
  <w15:chartTrackingRefBased/>
  <w15:docId w15:val="{ED23AFC7-3430-F848-8746-69C4BC13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A4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859"/>
    <w:pPr>
      <w:spacing w:before="100" w:beforeAutospacing="1" w:after="100" w:afterAutospacing="1"/>
    </w:pPr>
  </w:style>
  <w:style w:type="paragraph" w:styleId="ListParagraph">
    <w:name w:val="List Paragraph"/>
    <w:basedOn w:val="Normal"/>
    <w:uiPriority w:val="34"/>
    <w:qFormat/>
    <w:rsid w:val="00F13103"/>
    <w:pPr>
      <w:ind w:left="720"/>
      <w:contextualSpacing/>
    </w:pPr>
    <w:rPr>
      <w:rFonts w:asciiTheme="minorHAnsi" w:eastAsiaTheme="minorEastAsia" w:hAnsiTheme="minorHAnsi" w:cstheme="minorBidi"/>
      <w:kern w:val="2"/>
      <w14:ligatures w14:val="standardContextual"/>
    </w:rPr>
  </w:style>
  <w:style w:type="table" w:styleId="TableGrid">
    <w:name w:val="Table Grid"/>
    <w:basedOn w:val="TableNormal"/>
    <w:uiPriority w:val="39"/>
    <w:rsid w:val="0024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52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660">
      <w:bodyDiv w:val="1"/>
      <w:marLeft w:val="0"/>
      <w:marRight w:val="0"/>
      <w:marTop w:val="0"/>
      <w:marBottom w:val="0"/>
      <w:divBdr>
        <w:top w:val="none" w:sz="0" w:space="0" w:color="auto"/>
        <w:left w:val="none" w:sz="0" w:space="0" w:color="auto"/>
        <w:bottom w:val="none" w:sz="0" w:space="0" w:color="auto"/>
        <w:right w:val="none" w:sz="0" w:space="0" w:color="auto"/>
      </w:divBdr>
    </w:div>
    <w:div w:id="147750398">
      <w:bodyDiv w:val="1"/>
      <w:marLeft w:val="0"/>
      <w:marRight w:val="0"/>
      <w:marTop w:val="0"/>
      <w:marBottom w:val="0"/>
      <w:divBdr>
        <w:top w:val="none" w:sz="0" w:space="0" w:color="auto"/>
        <w:left w:val="none" w:sz="0" w:space="0" w:color="auto"/>
        <w:bottom w:val="none" w:sz="0" w:space="0" w:color="auto"/>
        <w:right w:val="none" w:sz="0" w:space="0" w:color="auto"/>
      </w:divBdr>
      <w:divsChild>
        <w:div w:id="1855459666">
          <w:marLeft w:val="0"/>
          <w:marRight w:val="0"/>
          <w:marTop w:val="0"/>
          <w:marBottom w:val="0"/>
          <w:divBdr>
            <w:top w:val="none" w:sz="0" w:space="0" w:color="auto"/>
            <w:left w:val="none" w:sz="0" w:space="0" w:color="auto"/>
            <w:bottom w:val="none" w:sz="0" w:space="0" w:color="auto"/>
            <w:right w:val="none" w:sz="0" w:space="0" w:color="auto"/>
          </w:divBdr>
          <w:divsChild>
            <w:div w:id="927152425">
              <w:marLeft w:val="0"/>
              <w:marRight w:val="0"/>
              <w:marTop w:val="0"/>
              <w:marBottom w:val="0"/>
              <w:divBdr>
                <w:top w:val="none" w:sz="0" w:space="0" w:color="auto"/>
                <w:left w:val="none" w:sz="0" w:space="0" w:color="auto"/>
                <w:bottom w:val="none" w:sz="0" w:space="0" w:color="auto"/>
                <w:right w:val="none" w:sz="0" w:space="0" w:color="auto"/>
              </w:divBdr>
              <w:divsChild>
                <w:div w:id="11818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6817">
      <w:bodyDiv w:val="1"/>
      <w:marLeft w:val="0"/>
      <w:marRight w:val="0"/>
      <w:marTop w:val="0"/>
      <w:marBottom w:val="0"/>
      <w:divBdr>
        <w:top w:val="none" w:sz="0" w:space="0" w:color="auto"/>
        <w:left w:val="none" w:sz="0" w:space="0" w:color="auto"/>
        <w:bottom w:val="none" w:sz="0" w:space="0" w:color="auto"/>
        <w:right w:val="none" w:sz="0" w:space="0" w:color="auto"/>
      </w:divBdr>
    </w:div>
    <w:div w:id="212621081">
      <w:bodyDiv w:val="1"/>
      <w:marLeft w:val="0"/>
      <w:marRight w:val="0"/>
      <w:marTop w:val="0"/>
      <w:marBottom w:val="0"/>
      <w:divBdr>
        <w:top w:val="none" w:sz="0" w:space="0" w:color="auto"/>
        <w:left w:val="none" w:sz="0" w:space="0" w:color="auto"/>
        <w:bottom w:val="none" w:sz="0" w:space="0" w:color="auto"/>
        <w:right w:val="none" w:sz="0" w:space="0" w:color="auto"/>
      </w:divBdr>
    </w:div>
    <w:div w:id="351809897">
      <w:bodyDiv w:val="1"/>
      <w:marLeft w:val="0"/>
      <w:marRight w:val="0"/>
      <w:marTop w:val="0"/>
      <w:marBottom w:val="0"/>
      <w:divBdr>
        <w:top w:val="none" w:sz="0" w:space="0" w:color="auto"/>
        <w:left w:val="none" w:sz="0" w:space="0" w:color="auto"/>
        <w:bottom w:val="none" w:sz="0" w:space="0" w:color="auto"/>
        <w:right w:val="none" w:sz="0" w:space="0" w:color="auto"/>
      </w:divBdr>
    </w:div>
    <w:div w:id="446583898">
      <w:bodyDiv w:val="1"/>
      <w:marLeft w:val="0"/>
      <w:marRight w:val="0"/>
      <w:marTop w:val="0"/>
      <w:marBottom w:val="0"/>
      <w:divBdr>
        <w:top w:val="none" w:sz="0" w:space="0" w:color="auto"/>
        <w:left w:val="none" w:sz="0" w:space="0" w:color="auto"/>
        <w:bottom w:val="none" w:sz="0" w:space="0" w:color="auto"/>
        <w:right w:val="none" w:sz="0" w:space="0" w:color="auto"/>
      </w:divBdr>
    </w:div>
    <w:div w:id="498157371">
      <w:bodyDiv w:val="1"/>
      <w:marLeft w:val="0"/>
      <w:marRight w:val="0"/>
      <w:marTop w:val="0"/>
      <w:marBottom w:val="0"/>
      <w:divBdr>
        <w:top w:val="none" w:sz="0" w:space="0" w:color="auto"/>
        <w:left w:val="none" w:sz="0" w:space="0" w:color="auto"/>
        <w:bottom w:val="none" w:sz="0" w:space="0" w:color="auto"/>
        <w:right w:val="none" w:sz="0" w:space="0" w:color="auto"/>
      </w:divBdr>
    </w:div>
    <w:div w:id="596527039">
      <w:bodyDiv w:val="1"/>
      <w:marLeft w:val="0"/>
      <w:marRight w:val="0"/>
      <w:marTop w:val="0"/>
      <w:marBottom w:val="0"/>
      <w:divBdr>
        <w:top w:val="none" w:sz="0" w:space="0" w:color="auto"/>
        <w:left w:val="none" w:sz="0" w:space="0" w:color="auto"/>
        <w:bottom w:val="none" w:sz="0" w:space="0" w:color="auto"/>
        <w:right w:val="none" w:sz="0" w:space="0" w:color="auto"/>
      </w:divBdr>
    </w:div>
    <w:div w:id="620764814">
      <w:bodyDiv w:val="1"/>
      <w:marLeft w:val="0"/>
      <w:marRight w:val="0"/>
      <w:marTop w:val="0"/>
      <w:marBottom w:val="0"/>
      <w:divBdr>
        <w:top w:val="none" w:sz="0" w:space="0" w:color="auto"/>
        <w:left w:val="none" w:sz="0" w:space="0" w:color="auto"/>
        <w:bottom w:val="none" w:sz="0" w:space="0" w:color="auto"/>
        <w:right w:val="none" w:sz="0" w:space="0" w:color="auto"/>
      </w:divBdr>
    </w:div>
    <w:div w:id="685056581">
      <w:bodyDiv w:val="1"/>
      <w:marLeft w:val="0"/>
      <w:marRight w:val="0"/>
      <w:marTop w:val="0"/>
      <w:marBottom w:val="0"/>
      <w:divBdr>
        <w:top w:val="none" w:sz="0" w:space="0" w:color="auto"/>
        <w:left w:val="none" w:sz="0" w:space="0" w:color="auto"/>
        <w:bottom w:val="none" w:sz="0" w:space="0" w:color="auto"/>
        <w:right w:val="none" w:sz="0" w:space="0" w:color="auto"/>
      </w:divBdr>
    </w:div>
    <w:div w:id="935676664">
      <w:bodyDiv w:val="1"/>
      <w:marLeft w:val="0"/>
      <w:marRight w:val="0"/>
      <w:marTop w:val="0"/>
      <w:marBottom w:val="0"/>
      <w:divBdr>
        <w:top w:val="none" w:sz="0" w:space="0" w:color="auto"/>
        <w:left w:val="none" w:sz="0" w:space="0" w:color="auto"/>
        <w:bottom w:val="none" w:sz="0" w:space="0" w:color="auto"/>
        <w:right w:val="none" w:sz="0" w:space="0" w:color="auto"/>
      </w:divBdr>
    </w:div>
    <w:div w:id="945577230">
      <w:bodyDiv w:val="1"/>
      <w:marLeft w:val="0"/>
      <w:marRight w:val="0"/>
      <w:marTop w:val="0"/>
      <w:marBottom w:val="0"/>
      <w:divBdr>
        <w:top w:val="none" w:sz="0" w:space="0" w:color="auto"/>
        <w:left w:val="none" w:sz="0" w:space="0" w:color="auto"/>
        <w:bottom w:val="none" w:sz="0" w:space="0" w:color="auto"/>
        <w:right w:val="none" w:sz="0" w:space="0" w:color="auto"/>
      </w:divBdr>
    </w:div>
    <w:div w:id="952905559">
      <w:bodyDiv w:val="1"/>
      <w:marLeft w:val="0"/>
      <w:marRight w:val="0"/>
      <w:marTop w:val="0"/>
      <w:marBottom w:val="0"/>
      <w:divBdr>
        <w:top w:val="none" w:sz="0" w:space="0" w:color="auto"/>
        <w:left w:val="none" w:sz="0" w:space="0" w:color="auto"/>
        <w:bottom w:val="none" w:sz="0" w:space="0" w:color="auto"/>
        <w:right w:val="none" w:sz="0" w:space="0" w:color="auto"/>
      </w:divBdr>
    </w:div>
    <w:div w:id="977414289">
      <w:bodyDiv w:val="1"/>
      <w:marLeft w:val="0"/>
      <w:marRight w:val="0"/>
      <w:marTop w:val="0"/>
      <w:marBottom w:val="0"/>
      <w:divBdr>
        <w:top w:val="none" w:sz="0" w:space="0" w:color="auto"/>
        <w:left w:val="none" w:sz="0" w:space="0" w:color="auto"/>
        <w:bottom w:val="none" w:sz="0" w:space="0" w:color="auto"/>
        <w:right w:val="none" w:sz="0" w:space="0" w:color="auto"/>
      </w:divBdr>
    </w:div>
    <w:div w:id="1266112095">
      <w:bodyDiv w:val="1"/>
      <w:marLeft w:val="0"/>
      <w:marRight w:val="0"/>
      <w:marTop w:val="0"/>
      <w:marBottom w:val="0"/>
      <w:divBdr>
        <w:top w:val="none" w:sz="0" w:space="0" w:color="auto"/>
        <w:left w:val="none" w:sz="0" w:space="0" w:color="auto"/>
        <w:bottom w:val="none" w:sz="0" w:space="0" w:color="auto"/>
        <w:right w:val="none" w:sz="0" w:space="0" w:color="auto"/>
      </w:divBdr>
    </w:div>
    <w:div w:id="1376078253">
      <w:bodyDiv w:val="1"/>
      <w:marLeft w:val="0"/>
      <w:marRight w:val="0"/>
      <w:marTop w:val="0"/>
      <w:marBottom w:val="0"/>
      <w:divBdr>
        <w:top w:val="none" w:sz="0" w:space="0" w:color="auto"/>
        <w:left w:val="none" w:sz="0" w:space="0" w:color="auto"/>
        <w:bottom w:val="none" w:sz="0" w:space="0" w:color="auto"/>
        <w:right w:val="none" w:sz="0" w:space="0" w:color="auto"/>
      </w:divBdr>
    </w:div>
    <w:div w:id="1634555664">
      <w:bodyDiv w:val="1"/>
      <w:marLeft w:val="0"/>
      <w:marRight w:val="0"/>
      <w:marTop w:val="0"/>
      <w:marBottom w:val="0"/>
      <w:divBdr>
        <w:top w:val="none" w:sz="0" w:space="0" w:color="auto"/>
        <w:left w:val="none" w:sz="0" w:space="0" w:color="auto"/>
        <w:bottom w:val="none" w:sz="0" w:space="0" w:color="auto"/>
        <w:right w:val="none" w:sz="0" w:space="0" w:color="auto"/>
      </w:divBdr>
    </w:div>
    <w:div w:id="1879197425">
      <w:bodyDiv w:val="1"/>
      <w:marLeft w:val="0"/>
      <w:marRight w:val="0"/>
      <w:marTop w:val="0"/>
      <w:marBottom w:val="0"/>
      <w:divBdr>
        <w:top w:val="none" w:sz="0" w:space="0" w:color="auto"/>
        <w:left w:val="none" w:sz="0" w:space="0" w:color="auto"/>
        <w:bottom w:val="none" w:sz="0" w:space="0" w:color="auto"/>
        <w:right w:val="none" w:sz="0" w:space="0" w:color="auto"/>
      </w:divBdr>
    </w:div>
    <w:div w:id="1937057149">
      <w:bodyDiv w:val="1"/>
      <w:marLeft w:val="0"/>
      <w:marRight w:val="0"/>
      <w:marTop w:val="0"/>
      <w:marBottom w:val="0"/>
      <w:divBdr>
        <w:top w:val="none" w:sz="0" w:space="0" w:color="auto"/>
        <w:left w:val="none" w:sz="0" w:space="0" w:color="auto"/>
        <w:bottom w:val="none" w:sz="0" w:space="0" w:color="auto"/>
        <w:right w:val="none" w:sz="0" w:space="0" w:color="auto"/>
      </w:divBdr>
    </w:div>
    <w:div w:id="2016375217">
      <w:bodyDiv w:val="1"/>
      <w:marLeft w:val="0"/>
      <w:marRight w:val="0"/>
      <w:marTop w:val="0"/>
      <w:marBottom w:val="0"/>
      <w:divBdr>
        <w:top w:val="none" w:sz="0" w:space="0" w:color="auto"/>
        <w:left w:val="none" w:sz="0" w:space="0" w:color="auto"/>
        <w:bottom w:val="none" w:sz="0" w:space="0" w:color="auto"/>
        <w:right w:val="none" w:sz="0" w:space="0" w:color="auto"/>
      </w:divBdr>
    </w:div>
    <w:div w:id="2130195964">
      <w:bodyDiv w:val="1"/>
      <w:marLeft w:val="0"/>
      <w:marRight w:val="0"/>
      <w:marTop w:val="0"/>
      <w:marBottom w:val="0"/>
      <w:divBdr>
        <w:top w:val="none" w:sz="0" w:space="0" w:color="auto"/>
        <w:left w:val="none" w:sz="0" w:space="0" w:color="auto"/>
        <w:bottom w:val="none" w:sz="0" w:space="0" w:color="auto"/>
        <w:right w:val="none" w:sz="0" w:space="0" w:color="auto"/>
      </w:divBdr>
    </w:div>
    <w:div w:id="21395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asilyladygin\Desktop\&#1050;&#1086;&#1087;&#1080;&#1103;%20Heinz_spreadsheet_stud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asilyladygin\Desktop\4_module\M&amp;A\Assignment\Valuation.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vasilyladygin\Desktop\4_module\M&amp;A\Assignment\Valu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Growth Analysis, avg.</a:t>
            </a:r>
            <a:r>
              <a:rPr lang="en-US" baseline="0"/>
              <a:t> (2011 - 2014) </a:t>
            </a:r>
            <a:endParaRPr lang="ru-RU"/>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barChart>
        <c:barDir val="col"/>
        <c:grouping val="clustered"/>
        <c:varyColors val="0"/>
        <c:ser>
          <c:idx val="0"/>
          <c:order val="0"/>
          <c:tx>
            <c:strRef>
              <c:f>'Comp Growth'!$H$25</c:f>
              <c:strCache>
                <c:ptCount val="1"/>
                <c:pt idx="0">
                  <c:v>Revenue Growth %</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'Comp Growth'!$G$26:$G$36</c:f>
              <c:strCache>
                <c:ptCount val="11"/>
                <c:pt idx="0">
                  <c:v>Campbell</c:v>
                </c:pt>
                <c:pt idx="1">
                  <c:v>ConAgra Foods</c:v>
                </c:pt>
                <c:pt idx="2">
                  <c:v>General Mills</c:v>
                </c:pt>
                <c:pt idx="3">
                  <c:v>Groupe Danone</c:v>
                </c:pt>
                <c:pt idx="4">
                  <c:v>Hershey</c:v>
                </c:pt>
                <c:pt idx="5">
                  <c:v>Kellogg</c:v>
                </c:pt>
                <c:pt idx="6">
                  <c:v>Nestle S.A.</c:v>
                </c:pt>
                <c:pt idx="7">
                  <c:v>PepsiCo</c:v>
                </c:pt>
                <c:pt idx="8">
                  <c:v>Unilever</c:v>
                </c:pt>
                <c:pt idx="9">
                  <c:v>Smucker</c:v>
                </c:pt>
                <c:pt idx="10">
                  <c:v>Heinz</c:v>
                </c:pt>
              </c:strCache>
            </c:strRef>
          </c:cat>
          <c:val>
            <c:numRef>
              <c:f>'Comp Growth'!$H$26:$H$36</c:f>
              <c:numCache>
                <c:formatCode>#\ ##0.0%_);\(#\ ##0.0%\)</c:formatCode>
                <c:ptCount val="11"/>
                <c:pt idx="0">
                  <c:v>2.8977344689590352E-2</c:v>
                </c:pt>
                <c:pt idx="1">
                  <c:v>9.5559867870164295E-2</c:v>
                </c:pt>
                <c:pt idx="2">
                  <c:v>6.3739582973471265E-2</c:v>
                </c:pt>
                <c:pt idx="3">
                  <c:v>7.3551011142678313E-2</c:v>
                </c:pt>
                <c:pt idx="4">
                  <c:v>7.3588141330506951E-2</c:v>
                </c:pt>
                <c:pt idx="5">
                  <c:v>5.3048453429320797E-2</c:v>
                </c:pt>
                <c:pt idx="6">
                  <c:v>-1.8984921801412952E-2</c:v>
                </c:pt>
                <c:pt idx="7">
                  <c:v>4.7686773614286554E-2</c:v>
                </c:pt>
                <c:pt idx="8">
                  <c:v>4.1480842962533016E-2</c:v>
                </c:pt>
                <c:pt idx="9">
                  <c:v>5.9377300812170408E-2</c:v>
                </c:pt>
                <c:pt idx="10">
                  <c:v>5.9257658898799803E-2</c:v>
                </c:pt>
              </c:numCache>
            </c:numRef>
          </c:val>
          <c:extLst>
            <c:ext xmlns:c16="http://schemas.microsoft.com/office/drawing/2014/chart" uri="{C3380CC4-5D6E-409C-BE32-E72D297353CC}">
              <c16:uniqueId val="{00000000-F324-1F46-B29F-CF36BFA7E5FD}"/>
            </c:ext>
          </c:extLst>
        </c:ser>
        <c:ser>
          <c:idx val="1"/>
          <c:order val="1"/>
          <c:tx>
            <c:strRef>
              <c:f>'Comp Growth'!$I$25</c:f>
              <c:strCache>
                <c:ptCount val="1"/>
                <c:pt idx="0">
                  <c:v>EBITDA Growth %</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'Comp Growth'!$G$26:$G$36</c:f>
              <c:strCache>
                <c:ptCount val="11"/>
                <c:pt idx="0">
                  <c:v>Campbell</c:v>
                </c:pt>
                <c:pt idx="1">
                  <c:v>ConAgra Foods</c:v>
                </c:pt>
                <c:pt idx="2">
                  <c:v>General Mills</c:v>
                </c:pt>
                <c:pt idx="3">
                  <c:v>Groupe Danone</c:v>
                </c:pt>
                <c:pt idx="4">
                  <c:v>Hershey</c:v>
                </c:pt>
                <c:pt idx="5">
                  <c:v>Kellogg</c:v>
                </c:pt>
                <c:pt idx="6">
                  <c:v>Nestle S.A.</c:v>
                </c:pt>
                <c:pt idx="7">
                  <c:v>PepsiCo</c:v>
                </c:pt>
                <c:pt idx="8">
                  <c:v>Unilever</c:v>
                </c:pt>
                <c:pt idx="9">
                  <c:v>Smucker</c:v>
                </c:pt>
                <c:pt idx="10">
                  <c:v>Heinz</c:v>
                </c:pt>
              </c:strCache>
            </c:strRef>
          </c:cat>
          <c:val>
            <c:numRef>
              <c:f>'Comp Growth'!$I$26:$I$36</c:f>
              <c:numCache>
                <c:formatCode>#\ ##0.0%_);\(#\ ##0.0%\)</c:formatCode>
                <c:ptCount val="11"/>
                <c:pt idx="0">
                  <c:v>1.7153319893527114E-2</c:v>
                </c:pt>
                <c:pt idx="1">
                  <c:v>0.11389985977514372</c:v>
                </c:pt>
                <c:pt idx="2">
                  <c:v>5.053470818703748E-2</c:v>
                </c:pt>
                <c:pt idx="3">
                  <c:v>4.6523233861481911E-2</c:v>
                </c:pt>
                <c:pt idx="4">
                  <c:v>9.3462873816996306E-2</c:v>
                </c:pt>
                <c:pt idx="5">
                  <c:v>3.9192554624150722E-2</c:v>
                </c:pt>
                <c:pt idx="6">
                  <c:v>2.277033884945337E-2</c:v>
                </c:pt>
                <c:pt idx="7">
                  <c:v>3.2482096194595578E-2</c:v>
                </c:pt>
                <c:pt idx="8">
                  <c:v>4.6749293755072391E-2</c:v>
                </c:pt>
                <c:pt idx="9">
                  <c:v>4.7504546291479599E-2</c:v>
                </c:pt>
                <c:pt idx="10">
                  <c:v>4.6029111338100108E-2</c:v>
                </c:pt>
              </c:numCache>
            </c:numRef>
          </c:val>
          <c:extLst>
            <c:ext xmlns:c16="http://schemas.microsoft.com/office/drawing/2014/chart" uri="{C3380CC4-5D6E-409C-BE32-E72D297353CC}">
              <c16:uniqueId val="{00000001-F324-1F46-B29F-CF36BFA7E5FD}"/>
            </c:ext>
          </c:extLst>
        </c:ser>
        <c:ser>
          <c:idx val="2"/>
          <c:order val="2"/>
          <c:tx>
            <c:strRef>
              <c:f>'Comp Growth'!$J$25</c:f>
              <c:strCache>
                <c:ptCount val="1"/>
                <c:pt idx="0">
                  <c:v>EPS Growth %</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'Comp Growth'!$G$26:$G$36</c:f>
              <c:strCache>
                <c:ptCount val="11"/>
                <c:pt idx="0">
                  <c:v>Campbell</c:v>
                </c:pt>
                <c:pt idx="1">
                  <c:v>ConAgra Foods</c:v>
                </c:pt>
                <c:pt idx="2">
                  <c:v>General Mills</c:v>
                </c:pt>
                <c:pt idx="3">
                  <c:v>Groupe Danone</c:v>
                </c:pt>
                <c:pt idx="4">
                  <c:v>Hershey</c:v>
                </c:pt>
                <c:pt idx="5">
                  <c:v>Kellogg</c:v>
                </c:pt>
                <c:pt idx="6">
                  <c:v>Nestle S.A.</c:v>
                </c:pt>
                <c:pt idx="7">
                  <c:v>PepsiCo</c:v>
                </c:pt>
                <c:pt idx="8">
                  <c:v>Unilever</c:v>
                </c:pt>
                <c:pt idx="9">
                  <c:v>Smucker</c:v>
                </c:pt>
                <c:pt idx="10">
                  <c:v>Heinz</c:v>
                </c:pt>
              </c:strCache>
            </c:strRef>
          </c:cat>
          <c:val>
            <c:numRef>
              <c:f>'Comp Growth'!$J$26:$J$36</c:f>
              <c:numCache>
                <c:formatCode>#\ ##0.0%_);\(#\ ##0.0%\)</c:formatCode>
                <c:ptCount val="11"/>
                <c:pt idx="0">
                  <c:v>2.0401432325469426E-2</c:v>
                </c:pt>
                <c:pt idx="1">
                  <c:v>0.10299123938846683</c:v>
                </c:pt>
                <c:pt idx="2">
                  <c:v>6.0777173449877708E-2</c:v>
                </c:pt>
                <c:pt idx="3">
                  <c:v>3.3844640820187039E-2</c:v>
                </c:pt>
                <c:pt idx="4">
                  <c:v>0.12712517263510659</c:v>
                </c:pt>
                <c:pt idx="5">
                  <c:v>5.3617021506542351E-2</c:v>
                </c:pt>
                <c:pt idx="6">
                  <c:v>3.3385478914859101E-2</c:v>
                </c:pt>
                <c:pt idx="7">
                  <c:v>3.4568820214474161E-2</c:v>
                </c:pt>
                <c:pt idx="8">
                  <c:v>3.3320194899130351E-2</c:v>
                </c:pt>
                <c:pt idx="9">
                  <c:v>7.8795810198783178E-2</c:v>
                </c:pt>
                <c:pt idx="10">
                  <c:v>6.6842064188859671E-2</c:v>
                </c:pt>
              </c:numCache>
            </c:numRef>
          </c:val>
          <c:extLst>
            <c:ext xmlns:c16="http://schemas.microsoft.com/office/drawing/2014/chart" uri="{C3380CC4-5D6E-409C-BE32-E72D297353CC}">
              <c16:uniqueId val="{00000002-F324-1F46-B29F-CF36BFA7E5FD}"/>
            </c:ext>
          </c:extLst>
        </c:ser>
        <c:dLbls>
          <c:showLegendKey val="0"/>
          <c:showVal val="0"/>
          <c:showCatName val="0"/>
          <c:showSerName val="0"/>
          <c:showPercent val="0"/>
          <c:showBubbleSize val="0"/>
        </c:dLbls>
        <c:gapWidth val="100"/>
        <c:overlap val="-24"/>
        <c:axId val="693260463"/>
        <c:axId val="693276783"/>
      </c:barChart>
      <c:catAx>
        <c:axId val="69326046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693276783"/>
        <c:crosses val="autoZero"/>
        <c:auto val="1"/>
        <c:lblAlgn val="ctr"/>
        <c:lblOffset val="100"/>
        <c:noMultiLvlLbl val="0"/>
      </c:catAx>
      <c:valAx>
        <c:axId val="693276783"/>
        <c:scaling>
          <c:orientation val="minMax"/>
        </c:scaling>
        <c:delete val="0"/>
        <c:axPos val="l"/>
        <c:majorGridlines>
          <c:spPr>
            <a:ln w="9525" cap="flat" cmpd="sng" algn="ctr">
              <a:solidFill>
                <a:schemeClr val="tx2">
                  <a:lumMod val="15000"/>
                  <a:lumOff val="85000"/>
                </a:schemeClr>
              </a:solidFill>
              <a:round/>
            </a:ln>
            <a:effectLst/>
          </c:spPr>
        </c:majorGridlines>
        <c:numFmt formatCode="#\ ##0.0%_);\(#\ ##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6932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Valuation Results</a:t>
            </a:r>
            <a:endParaRPr lang="ru-RU"/>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'Comp Val-2'!$B$36:$J$37</c:f>
              <c:multiLvlStrCache>
                <c:ptCount val="9"/>
                <c:lvl>
                  <c:pt idx="0">
                    <c:v>P/E</c:v>
                  </c:pt>
                  <c:pt idx="1">
                    <c:v>EV/EBITDA</c:v>
                  </c:pt>
                  <c:pt idx="2">
                    <c:v>EV/FCF</c:v>
                  </c:pt>
                  <c:pt idx="3">
                    <c:v>P/B</c:v>
                  </c:pt>
                  <c:pt idx="4">
                    <c:v>P/Sales</c:v>
                  </c:pt>
                  <c:pt idx="5">
                    <c:v>PEG</c:v>
                  </c:pt>
                  <c:pt idx="7">
                    <c:v>PG</c:v>
                  </c:pt>
                  <c:pt idx="8">
                    <c:v>EM</c:v>
                  </c:pt>
                </c:lvl>
                <c:lvl>
                  <c:pt idx="0">
                    <c:v>Relative</c:v>
                  </c:pt>
                  <c:pt idx="6">
                    <c:v>PT</c:v>
                  </c:pt>
                  <c:pt idx="7">
                    <c:v>DCF</c:v>
                  </c:pt>
                </c:lvl>
              </c:multiLvlStrCache>
            </c:multiLvlStrRef>
          </c:cat>
          <c:val>
            <c:numRef>
              <c:f>'Comp Val-2'!$B$38:$J$38</c:f>
              <c:numCache>
                <c:formatCode>0.00</c:formatCode>
                <c:ptCount val="9"/>
                <c:pt idx="0">
                  <c:v>47.331761414974068</c:v>
                </c:pt>
                <c:pt idx="1">
                  <c:v>53.360749074796082</c:v>
                </c:pt>
                <c:pt idx="2">
                  <c:v>91.39689264540246</c:v>
                </c:pt>
                <c:pt idx="3">
                  <c:v>37.907677645340556</c:v>
                </c:pt>
                <c:pt idx="4">
                  <c:v>54.189409973636323</c:v>
                </c:pt>
                <c:pt idx="5">
                  <c:v>53.914324260765163</c:v>
                </c:pt>
                <c:pt idx="6" formatCode="General">
                  <c:v>55.27</c:v>
                </c:pt>
                <c:pt idx="7" formatCode="General">
                  <c:v>121.35945259830216</c:v>
                </c:pt>
                <c:pt idx="8" formatCode="General">
                  <c:v>82.367038698398503</c:v>
                </c:pt>
              </c:numCache>
            </c:numRef>
          </c:val>
          <c:extLst>
            <c:ext xmlns:c16="http://schemas.microsoft.com/office/drawing/2014/chart" uri="{C3380CC4-5D6E-409C-BE32-E72D297353CC}">
              <c16:uniqueId val="{00000000-214F-AD49-905C-72578307CC41}"/>
            </c:ext>
          </c:extLst>
        </c:ser>
        <c:dLbls>
          <c:dLblPos val="outEnd"/>
          <c:showLegendKey val="0"/>
          <c:showVal val="1"/>
          <c:showCatName val="0"/>
          <c:showSerName val="0"/>
          <c:showPercent val="0"/>
          <c:showBubbleSize val="0"/>
        </c:dLbls>
        <c:gapWidth val="182"/>
        <c:axId val="266855423"/>
        <c:axId val="266850703"/>
      </c:barChart>
      <c:catAx>
        <c:axId val="2668554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66850703"/>
        <c:crosses val="autoZero"/>
        <c:auto val="1"/>
        <c:lblAlgn val="ctr"/>
        <c:lblOffset val="100"/>
        <c:noMultiLvlLbl val="0"/>
      </c:catAx>
      <c:valAx>
        <c:axId val="266850703"/>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2668554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'Comp Val-2'!$B$38:$J$38</cx:f>
        <cx:lvl ptCount="9" formatCode="0,00">
          <cx:pt idx="0">47.331761414974068</cx:pt>
          <cx:pt idx="1">53.360749074796082</cx:pt>
          <cx:pt idx="2">91.39689264540246</cx:pt>
          <cx:pt idx="3">37.907677645340556</cx:pt>
          <cx:pt idx="4">54.189409973636323</cx:pt>
          <cx:pt idx="5">53.914324260765163</cx:pt>
          <cx:pt idx="6">55.270000000000003</cx:pt>
          <cx:pt idx="7">121.35945259830216</cx:pt>
          <cx:pt idx="8">82.367038698398503</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Valuation Results</a:t>
            </a:r>
            <a:endParaRPr lang="ru-RU" sz="1400" b="0" i="0" u="none" strike="noStrike" baseline="0">
              <a:solidFill>
                <a:sysClr val="windowText" lastClr="000000">
                  <a:lumMod val="65000"/>
                  <a:lumOff val="35000"/>
                </a:sysClr>
              </a:solidFill>
              <a:latin typeface="Calibri"/>
            </a:endParaRPr>
          </a:p>
        </cx:rich>
      </cx:tx>
    </cx:title>
    <cx:plotArea>
      <cx:plotAreaRegion>
        <cx:series layoutId="boxWhisker" uniqueId="{E4925871-B18E-B349-8F76-B778058D26AC}">
          <cx:spPr>
            <a:ln>
              <a:solidFill>
                <a:schemeClr val="tx1"/>
              </a:solidFill>
            </a:ln>
          </cx:spPr>
          <cx:dataLabels pos="l">
            <cx:spPr>
              <a:solidFill>
                <a:schemeClr val="bg1"/>
              </a:solidFill>
            </cx:spPr>
            <cx:txPr>
              <a:bodyPr spcFirstLastPara="1" vertOverflow="ellipsis" horzOverflow="overflow" wrap="square" lIns="0" tIns="0" rIns="0" bIns="0" anchor="ctr" anchorCtr="1"/>
              <a:lstStyle/>
              <a:p>
                <a:pPr algn="ctr" rtl="0">
                  <a:defRPr sz="1100">
                    <a:solidFill>
                      <a:schemeClr val="tx1"/>
                    </a:solidFill>
                  </a:defRPr>
                </a:pPr>
                <a:endParaRPr lang="ru-RU" sz="1100" b="0" i="0" u="none" strike="noStrike" baseline="0">
                  <a:solidFill>
                    <a:schemeClr val="tx1"/>
                  </a:solidFill>
                  <a:latin typeface="Calibri"/>
                </a:endParaRPr>
              </a:p>
            </cx:txPr>
            <cx:visibility seriesName="0" categoryName="0" value="1"/>
            <cx:separator>, </cx:separator>
            <cx:dataLabel idx="6">
              <cx:spPr>
                <a:solidFill>
                  <a:schemeClr val="bg1"/>
                </a:solidFill>
              </cx:spPr>
              <cx:txPr>
                <a:bodyPr spcFirstLastPara="1" vertOverflow="ellipsis" horzOverflow="overflow" wrap="square" lIns="0" tIns="0" rIns="0" bIns="0" anchor="ctr" anchorCtr="1"/>
                <a:lstStyle/>
                <a:p>
                  <a:pPr algn="ctr" rtl="0">
                    <a:defRPr sz="1100"/>
                  </a:pPr>
                  <a:r>
                    <a:rPr lang="ru-RU" sz="1100" b="0" i="0" u="none" strike="noStrike" baseline="0">
                      <a:solidFill>
                        <a:schemeClr val="tx1"/>
                      </a:solidFill>
                      <a:latin typeface="Calibri"/>
                    </a:rPr>
                    <a:t>121,36</a:t>
                  </a:r>
                </a:p>
              </cx:txPr>
              <cx:visibility seriesName="0" categoryName="0" value="1"/>
              <cx:separator>, </cx:separator>
            </cx:dataLabel>
            <cx:dataLabel idx="7">
              <cx:spPr>
                <a:solidFill>
                  <a:schemeClr val="bg1"/>
                </a:solidFill>
              </cx:spPr>
              <cx:txPr>
                <a:bodyPr spcFirstLastPara="1" vertOverflow="ellipsis" horzOverflow="overflow" wrap="square" lIns="0" tIns="0" rIns="0" bIns="0" anchor="ctr" anchorCtr="1"/>
                <a:lstStyle/>
                <a:p>
                  <a:pPr algn="ctr" rtl="0">
                    <a:defRPr/>
                  </a:pPr>
                  <a:r>
                    <a:rPr lang="ru-RU" sz="1100" b="0" i="0" u="none" strike="noStrike" baseline="0">
                      <a:solidFill>
                        <a:schemeClr val="tx1"/>
                      </a:solidFill>
                      <a:latin typeface="Calibri"/>
                    </a:rPr>
                    <a:t>91,40</a:t>
                  </a:r>
                </a:p>
              </cx:txPr>
              <cx:visibility seriesName="0" categoryName="0" value="1"/>
              <cx:separator>, </cx:separator>
            </cx:dataLabel>
          </cx:dataLabels>
          <cx:dataId val="0"/>
          <cx:layoutPr>
            <cx:visibility meanLine="1" meanMarker="1" nonoutliers="0" outliers="1"/>
            <cx:statistics quartileMethod="exclusive"/>
          </cx:layoutPr>
        </cx:series>
      </cx:plotAreaRegion>
      <cx:axis id="0" hidden="1">
        <cx:catScaling gapWidth="1"/>
        <cx:tickLabels/>
      </cx:axis>
      <cx:axis id="1">
        <cx:valScaling/>
        <cx:majorGridlines/>
        <cx:min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2796</Words>
  <Characters>15943</Characters>
  <Application>Microsoft Office Word</Application>
  <DocSecurity>0</DocSecurity>
  <Lines>132</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Vasilii Ladygin</dc:creator>
  <cp:keywords/>
  <dc:description/>
  <cp:lastModifiedBy>凯 任</cp:lastModifiedBy>
  <cp:revision>10</cp:revision>
  <dcterms:created xsi:type="dcterms:W3CDTF">2025-06-05T02:20:00Z</dcterms:created>
  <dcterms:modified xsi:type="dcterms:W3CDTF">2025-06-05T06:32:00Z</dcterms:modified>
</cp:coreProperties>
</file>