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CEA4" w14:textId="77777777" w:rsidR="009867E5" w:rsidRPr="009867E5" w:rsidRDefault="009867E5" w:rsidP="009867E5">
      <w:pPr>
        <w:spacing w:line="360" w:lineRule="auto"/>
        <w:jc w:val="center"/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</w:pPr>
      <w:r w:rsidRPr="009867E5"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  <w:lang w:val="en-CN"/>
        </w:rPr>
        <w:t>Assignment</w:t>
      </w:r>
    </w:p>
    <w:p w14:paraId="63A731E2" w14:textId="77777777" w:rsidR="009867E5" w:rsidRPr="009867E5" w:rsidRDefault="009867E5" w:rsidP="009867E5">
      <w:pPr>
        <w:spacing w:line="360" w:lineRule="auto"/>
        <w:jc w:val="center"/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</w:pPr>
      <w:r w:rsidRPr="009867E5"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  <w:t>FIN 535: Mergers and Acquisitions</w:t>
      </w:r>
    </w:p>
    <w:p w14:paraId="20318FCF" w14:textId="77777777" w:rsidR="009867E5" w:rsidRPr="009867E5" w:rsidRDefault="009867E5" w:rsidP="009867E5">
      <w:pPr>
        <w:spacing w:line="360" w:lineRule="auto"/>
        <w:jc w:val="center"/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</w:pPr>
      <w:r w:rsidRPr="009867E5"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  <w:t>Peking University HSBC Business School</w:t>
      </w:r>
    </w:p>
    <w:p w14:paraId="2866B079" w14:textId="77777777" w:rsidR="009867E5" w:rsidRPr="009867E5" w:rsidRDefault="009867E5" w:rsidP="009867E5">
      <w:pPr>
        <w:spacing w:line="360" w:lineRule="auto"/>
        <w:jc w:val="center"/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</w:pPr>
      <w:r w:rsidRPr="009867E5"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  <w:lang w:val="en-CN"/>
        </w:rPr>
        <w:t>Due on: May 29</w:t>
      </w:r>
    </w:p>
    <w:p w14:paraId="7C6E2190" w14:textId="74D36750" w:rsidR="005E5DA2" w:rsidRPr="00E07D6D" w:rsidRDefault="005E5DA2" w:rsidP="009867E5">
      <w:pPr>
        <w:spacing w:line="360" w:lineRule="auto"/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E07D6D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Question </w:t>
      </w:r>
      <w:r w:rsidR="00927F4F" w:rsidRPr="00E07D6D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1.</w:t>
      </w:r>
    </w:p>
    <w:p w14:paraId="53F2E116" w14:textId="7ADA9D3C" w:rsidR="00095AA8" w:rsidRDefault="00832681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1430F6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Answer:</w:t>
      </w:r>
      <w:r w:rsidR="00D863C7" w:rsidRPr="0069780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Assume that the exchange ratio </w:t>
      </w:r>
      <w:r w:rsidR="002819FB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N</w:t>
      </w:r>
      <w:r w:rsidR="00BD010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F</w:t>
      </w:r>
      <w:r w:rsidR="002819FB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F</w:t>
      </w:r>
      <w:r w:rsidR="002819F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could</w:t>
      </w:r>
      <w:r w:rsidR="00A03AEC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offer is </w:t>
      </w: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ER</m:t>
        </m:r>
      </m:oMath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, i.e., one share of </w:t>
      </w:r>
      <w:r w:rsidR="006C536F" w:rsidRPr="006C536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LE </w:t>
      </w:r>
      <w:r w:rsidR="0006523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stock </w:t>
      </w:r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can be </w:t>
      </w:r>
      <w:r w:rsidR="00E9681D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swap</w:t>
      </w:r>
      <w:r w:rsidR="005677B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p</w:t>
      </w:r>
      <w:r w:rsidR="00E9681D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ed</w:t>
      </w:r>
      <w:r w:rsidR="00E9681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496D4D" w:rsidRPr="00496D4D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f</w:t>
      </w:r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or </w:t>
      </w: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ER</m:t>
        </m:r>
      </m:oMath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shares of </w:t>
      </w:r>
      <w:r w:rsidR="006C536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N</w:t>
      </w:r>
      <w:r w:rsidR="00BD010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F</w:t>
      </w:r>
      <w:r w:rsidR="006C536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F</w:t>
      </w:r>
      <w:r w:rsidR="0006523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stock</w:t>
      </w:r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  <w:r w:rsidR="003D46BD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3D46BD" w:rsidRPr="003D46B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Then</w:t>
      </w:r>
      <w:r w:rsidR="006B0F1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</w:t>
      </w:r>
      <w:r w:rsidR="003D46BD" w:rsidRPr="003D46B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for </w:t>
      </w:r>
      <w:r w:rsidR="009C593D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N</w:t>
      </w:r>
      <w:r w:rsidR="00BD010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F</w:t>
      </w:r>
      <w:r w:rsidR="009C593D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F</w:t>
      </w:r>
      <w:r w:rsidR="009C593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3D46BD" w:rsidRPr="003D46B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to still generate </w:t>
      </w:r>
      <w:r w:rsidR="000F0FE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a </w:t>
      </w:r>
      <w:r w:rsidR="003D46BD" w:rsidRPr="003D46B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positive </w:t>
      </w:r>
      <w:r w:rsidR="000F0FE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NPV</w:t>
      </w:r>
      <w:r w:rsidR="003D46BD" w:rsidRPr="003D46B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 there must be:</w:t>
      </w:r>
    </w:p>
    <w:p w14:paraId="152A2329" w14:textId="5FAD59EC" w:rsidR="00813560" w:rsidRPr="00813560" w:rsidRDefault="00A20A96" w:rsidP="006E212F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4</m:t>
            </m: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25</m:t>
            </m: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ER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35</m:t>
        </m:r>
        <m:r>
          <m:rPr>
            <m:sty m:val="p"/>
          </m:rPr>
          <w:rPr>
            <w:rFonts w:ascii="Cambria Math" w:eastAsia="KaiTi" w:hAnsi="Cambria Math" w:cs="Times New Roman" w:hint="eastAsia"/>
            <w:color w:val="000000" w:themeColor="text1"/>
            <w:sz w:val="24"/>
            <w:szCs w:val="24"/>
          </w:rPr>
          <m:t>≤</m:t>
        </m:r>
        <m:d>
          <m:d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4+1</m:t>
            </m:r>
          </m:e>
        </m:d>
      </m:oMath>
      <w:r w:rsidR="006E212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</w:t>
      </w:r>
    </w:p>
    <w:p w14:paraId="0E720F13" w14:textId="185F90B2" w:rsidR="00813560" w:rsidRPr="00813560" w:rsidRDefault="00F62905" w:rsidP="006E212F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ER</m:t>
        </m:r>
        <m:r>
          <m:rPr>
            <m:sty m:val="p"/>
          </m:rPr>
          <w:rPr>
            <w:rFonts w:ascii="Cambria Math" w:eastAsia="KaiTi" w:hAnsi="Cambria Math" w:cs="Times New Roman" w:hint="eastAsia"/>
            <w:color w:val="000000" w:themeColor="text1"/>
            <w:sz w:val="24"/>
            <w:szCs w:val="24"/>
          </w:rPr>
          <m:t>≤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0.89</m:t>
        </m:r>
      </m:oMath>
      <w:r w:rsidR="006E212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34C247D9" w14:textId="34355DC8" w:rsidR="00813560" w:rsidRDefault="00C85920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So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 t</w:t>
      </w:r>
      <w:r w:rsidR="0060429F" w:rsidRPr="006042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he maximum exchange ratio N</w:t>
      </w:r>
      <w:r w:rsidR="00BD010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F</w:t>
      </w:r>
      <w:r w:rsidR="0060429F" w:rsidRPr="006042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F </w:t>
      </w:r>
      <w:r w:rsidR="00DD738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could</w:t>
      </w:r>
      <w:r w:rsidR="0060429F" w:rsidRPr="006042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offer is </w:t>
      </w:r>
      <w:r w:rsidR="0060429F" w:rsidRPr="00A30F37">
        <w:rPr>
          <w:rFonts w:ascii="Times New Roman" w:eastAsia="KaiTi" w:hAnsi="Times New Roman" w:cs="Times New Roman"/>
          <w:b/>
          <w:bCs/>
          <w:color w:val="000000" w:themeColor="text1"/>
          <w:sz w:val="24"/>
          <w:szCs w:val="24"/>
        </w:rPr>
        <w:t>0.89</w:t>
      </w:r>
      <w:r w:rsidR="0060429F" w:rsidRPr="006042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54001628" w14:textId="77777777" w:rsidR="001C59FF" w:rsidRPr="00813560" w:rsidRDefault="001C59FF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</w:p>
    <w:p w14:paraId="00062C60" w14:textId="77777777" w:rsidR="00FC3A7F" w:rsidRDefault="00062C98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062C98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Question </w:t>
      </w:r>
      <w:r w:rsidR="00663488" w:rsidRPr="00062C98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2.</w:t>
      </w:r>
      <w:r w:rsidR="00663488" w:rsidRPr="0069780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</w:p>
    <w:p w14:paraId="52F428C1" w14:textId="3158434B" w:rsidR="00544A1F" w:rsidRDefault="00066458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1430F6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Answer:</w:t>
      </w:r>
      <w:r w:rsidR="00E4547B" w:rsidRPr="005F3BB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544A1F" w:rsidRPr="00544A1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Based on the </w:t>
      </w:r>
      <w:r w:rsidR="00544A1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question title, we can get</w:t>
      </w:r>
    </w:p>
    <w:p w14:paraId="221A65D8" w14:textId="548D2805" w:rsidR="00544A1F" w:rsidRDefault="00544A1F" w:rsidP="00544A1F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Acquir</w:t>
      </w:r>
      <w:r w:rsidR="00FE709A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e (</w:t>
      </w:r>
      <w:r w:rsidR="00D152D6" w:rsidRPr="00D152D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Rearden Metal</w:t>
      </w:r>
      <w:r w:rsidR="00FE709A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)</w:t>
      </w:r>
      <w:r w:rsidR="007278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:</w:t>
      </w:r>
      <w:r w:rsidR="00F946C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EPS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=2$, 10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 shares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=20$</m:t>
        </m:r>
      </m:oMath>
    </w:p>
    <w:p w14:paraId="18E47332" w14:textId="3F87166F" w:rsidR="00544A1F" w:rsidRPr="00544A1F" w:rsidRDefault="006A3DDF" w:rsidP="00544A1F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Target</w:t>
      </w:r>
      <w:r w:rsidR="00B55B8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(</w:t>
      </w:r>
      <w:r w:rsidR="00B55B8B" w:rsidRPr="00B55B8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Associated Steel</w:t>
      </w:r>
      <w:r w:rsidR="00B55B8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:</w:t>
      </w:r>
      <w:r w:rsidR="00B37BA7" w:rsidRPr="00B37BA7">
        <w:rPr>
          <w:rFonts w:ascii="Cambria Math" w:eastAsia="KaiTi" w:hAnsi="Cambria Math" w:cs="Times New Roman"/>
          <w:i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EPS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=1.25$, 4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 shares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=15$</m:t>
        </m:r>
      </m:oMath>
    </w:p>
    <w:p w14:paraId="4B6044C0" w14:textId="3C98F354" w:rsidR="00023259" w:rsidRDefault="003D7CEE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Because </w:t>
      </w:r>
      <w:r w:rsidRPr="003D7CE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 offer represents a 20% premium</w:t>
      </w:r>
      <w:r w:rsidR="00C559EB" w:rsidRPr="00C559E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to </w:t>
      </w:r>
      <w:r w:rsidR="006E212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 price of</w:t>
      </w:r>
      <w:r w:rsidR="00C559EB" w:rsidRPr="00C559E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Associated Steel</w:t>
      </w:r>
    </w:p>
    <w:p w14:paraId="79B0C705" w14:textId="24800E32" w:rsidR="0013554A" w:rsidRPr="003D7CEE" w:rsidRDefault="00A20A96" w:rsidP="006E212F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  <w:lang w:val="en-CN"/>
        </w:rPr>
      </w:pPr>
      <m:oMath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pr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×(1+20%)=18$</m:t>
        </m:r>
      </m:oMath>
      <w:r w:rsidR="006E212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5E011299" w14:textId="1956FAA7" w:rsidR="009C4678" w:rsidRDefault="006E212F" w:rsidP="00914AF2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Then </w:t>
      </w:r>
      <w:r w:rsidR="009C467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 exchange ratio should be</w:t>
      </w:r>
      <w:r w:rsidR="00914AF2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ER=</m:t>
        </m:r>
        <m:f>
          <m:fPr>
            <m:ctrlP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KaiTi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KaiTi" w:hAnsi="Cambria Math" w:cs="Times New Roman"/>
                    <w:color w:val="000000" w:themeColor="text1"/>
                    <w:sz w:val="24"/>
                    <w:szCs w:val="24"/>
                  </w:rPr>
                  <m:t>pr</m:t>
                </m:r>
              </m:sub>
            </m:sSub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="KaiTi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KaiTi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sub>
            </m:sSub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=0.9</m:t>
        </m:r>
      </m:oMath>
      <w:r w:rsidR="004A0C1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10339925" w14:textId="38CF9A8F" w:rsidR="000E5421" w:rsidRDefault="000E5421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0E542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Therefore, the total value of the firm available after the merger is</w:t>
      </w:r>
    </w:p>
    <w:p w14:paraId="0F69214A" w14:textId="7526B83D" w:rsidR="002933C1" w:rsidRDefault="002933C1" w:rsidP="00337414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V=</m:t>
        </m:r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=20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10+15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4=260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mln$</m:t>
        </m:r>
      </m:oMath>
      <w:r w:rsidR="00337414">
        <w:rPr>
          <w:rFonts w:ascii="Times New Roman" w:eastAsia="KaiTi" w:hAnsi="Times New Roman" w:cs="Times New Roman"/>
          <w:iCs/>
          <w:color w:val="000000" w:themeColor="text1"/>
          <w:sz w:val="24"/>
          <w:szCs w:val="24"/>
        </w:rPr>
        <w:t>.</w:t>
      </w:r>
    </w:p>
    <w:p w14:paraId="1786AD25" w14:textId="5F5DFF60" w:rsidR="002B5172" w:rsidRDefault="002B5172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And the total </w:t>
      </w:r>
      <w:r w:rsidRPr="002B5172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shares outstanding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is</w:t>
      </w:r>
    </w:p>
    <w:p w14:paraId="341AED0D" w14:textId="38FA88ED" w:rsidR="002B5172" w:rsidRPr="005A477C" w:rsidRDefault="00BE5099" w:rsidP="00337414">
      <w:pPr>
        <w:spacing w:line="360" w:lineRule="auto"/>
        <w:jc w:val="center"/>
        <w:rPr>
          <w:rFonts w:ascii="Times New Roman" w:eastAsia="KaiTi" w:hAnsi="Times New Roman" w:cs="Times New Roman"/>
          <w:iCs/>
          <w:color w:val="000000" w:themeColor="text1"/>
          <w:sz w:val="24"/>
          <w:szCs w:val="24"/>
        </w:rPr>
      </w:pP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N=10+4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0.9=13.6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</m:t>
        </m:r>
      </m:oMath>
      <w:r w:rsidR="00337414" w:rsidRPr="005A477C">
        <w:rPr>
          <w:rFonts w:ascii="Times New Roman" w:eastAsia="KaiTi" w:hAnsi="Times New Roman" w:cs="Times New Roman"/>
          <w:iCs/>
          <w:color w:val="000000" w:themeColor="text1"/>
          <w:sz w:val="24"/>
          <w:szCs w:val="24"/>
        </w:rPr>
        <w:t>.</w:t>
      </w:r>
    </w:p>
    <w:p w14:paraId="0ADCA568" w14:textId="1A46B4FB" w:rsidR="001B00C3" w:rsidRDefault="001B00C3" w:rsidP="001B00C3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Then</w:t>
      </w:r>
      <w:r w:rsidR="009F15D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the price per share </w:t>
      </w:r>
      <w:r w:rsidR="009F15D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of</w:t>
      </w:r>
      <w:r w:rsidR="00C71CAA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940363" w:rsidRPr="00D152D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Rearden Metal</w:t>
      </w:r>
      <w:r w:rsidR="0094036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after the announcement should be</w:t>
      </w:r>
    </w:p>
    <w:p w14:paraId="6F20CF35" w14:textId="47B1ADC3" w:rsidR="001B00C3" w:rsidRDefault="00A20A96" w:rsidP="00977F00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NEW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260</m:t>
            </m:r>
          </m:num>
          <m:den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13.6</m:t>
            </m:r>
          </m:den>
        </m:f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=19.12$</m:t>
        </m:r>
      </m:oMath>
      <w:r w:rsidR="000D5F7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2B52362C" w14:textId="2803A7D2" w:rsidR="00544A1F" w:rsidRDefault="00255067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And the price per share of </w:t>
      </w:r>
      <w:r w:rsidR="00C03C09" w:rsidRPr="00B55B8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Associated Steel</w:t>
      </w:r>
      <w:r w:rsidR="00C03C0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sho</w:t>
      </w:r>
      <w:r w:rsidR="007157B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u</w:t>
      </w:r>
      <w:r w:rsidR="00C03C0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ld be</w:t>
      </w:r>
    </w:p>
    <w:p w14:paraId="2F49FD47" w14:textId="25D0372E" w:rsidR="00BC21CF" w:rsidRPr="009A7211" w:rsidRDefault="00A20A96" w:rsidP="002E299B">
      <w:pPr>
        <w:spacing w:line="360" w:lineRule="auto"/>
        <w:jc w:val="center"/>
        <w:rPr>
          <w:rFonts w:ascii="Times New Roman" w:eastAsia="KaiTi" w:hAnsi="Times New Roman" w:cs="Times New Roman"/>
          <w:iCs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NEW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NEW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*ER=17.21$</m:t>
        </m:r>
      </m:oMath>
      <w:r w:rsidR="008A301E" w:rsidRPr="00BB693A">
        <w:rPr>
          <w:rFonts w:ascii="Times New Roman" w:eastAsia="KaiTi" w:hAnsi="Times New Roman" w:cs="Times New Roman"/>
          <w:i/>
          <w:color w:val="000000" w:themeColor="text1"/>
          <w:sz w:val="24"/>
          <w:szCs w:val="24"/>
        </w:rPr>
        <w:t>.</w:t>
      </w:r>
    </w:p>
    <w:p w14:paraId="36D5796B" w14:textId="31F04925" w:rsidR="00F0737A" w:rsidRDefault="00886EB9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T</w:t>
      </w:r>
      <w:r w:rsidR="009A721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he </w:t>
      </w:r>
      <w:r w:rsidR="009A7211" w:rsidRPr="009A721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actual</w:t>
      </w:r>
      <w:r w:rsidR="009A721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9A7211" w:rsidRPr="009A721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premium Rearden will pay</w:t>
      </w:r>
      <w:r w:rsidR="009A721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 w:hint="eastAsia"/>
                <w:color w:val="000000" w:themeColor="text1"/>
                <w:sz w:val="24"/>
                <w:szCs w:val="24"/>
              </w:rPr>
              <m:t>1</m:t>
            </m:r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7.21-15</m:t>
            </m:r>
          </m:num>
          <m:den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15</m:t>
            </m:r>
          </m:den>
        </m:f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=14.73%</m:t>
        </m:r>
      </m:oMath>
      <w:r w:rsidR="00FD329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15362BD0" w14:textId="1E6CCCDA" w:rsidR="009821F2" w:rsidRDefault="009821F2" w:rsidP="009821F2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bookmarkStart w:id="0" w:name="OLE_LINK1"/>
      <w:r w:rsidRPr="00062C98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 xml:space="preserve">Question </w:t>
      </w:r>
      <w:r w:rsidR="00B01639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3</w:t>
      </w:r>
      <w:r w:rsidRPr="00062C98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.</w:t>
      </w:r>
      <w:r w:rsidRPr="0069780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</w:p>
    <w:p w14:paraId="6EF801CA" w14:textId="0853A89D" w:rsidR="00AE1077" w:rsidRDefault="009821F2" w:rsidP="009821F2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1430F6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Answer:</w:t>
      </w:r>
      <w:r w:rsidRPr="005F3BB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bookmarkEnd w:id="0"/>
      <w:r w:rsidRPr="00544A1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Based on the 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question title, we can get</w:t>
      </w:r>
      <w:r w:rsidR="0043182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: </w:t>
      </w:r>
      <w:r w:rsidR="00AE1077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for the target (</w:t>
      </w:r>
      <w:proofErr w:type="spellStart"/>
      <w:r w:rsidR="00AE1077" w:rsidRPr="00AE1077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Boogle</w:t>
      </w:r>
      <w:proofErr w:type="spellEnd"/>
      <w:r w:rsidR="00AE1077" w:rsidRPr="00AE1077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Inc</w:t>
      </w:r>
      <w:r w:rsidR="00AE1077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)</w:t>
      </w:r>
    </w:p>
    <w:p w14:paraId="282207D5" w14:textId="27653B17" w:rsidR="0077435A" w:rsidRPr="00112226" w:rsidRDefault="00A20A96" w:rsidP="006A4FE1">
      <w:pPr>
        <w:spacing w:line="360" w:lineRule="auto"/>
        <w:jc w:val="center"/>
        <w:rPr>
          <w:rFonts w:ascii="Times New Roman" w:eastAsia="KaiTi" w:hAnsi="Times New Roman" w:cs="Times New Roman"/>
          <w:i/>
          <w:iCs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=18$,  3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 shares</m:t>
        </m:r>
      </m:oMath>
      <w:r w:rsidR="00C5180D" w:rsidRPr="00C5180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1D1AF5A5" w14:textId="3136C366" w:rsidR="00112226" w:rsidRDefault="00DE2FCA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</w:t>
      </w:r>
      <w:r w:rsidR="0011222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he 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total value of the target </w:t>
      </w:r>
      <w:r w:rsidR="00FA253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before </w:t>
      </w:r>
      <w:r w:rsidR="001A763A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the </w:t>
      </w:r>
      <w:r w:rsidR="00FA253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merger 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is</w:t>
      </w:r>
    </w:p>
    <w:p w14:paraId="0512B225" w14:textId="50891975" w:rsidR="000E7005" w:rsidRPr="00112226" w:rsidRDefault="00A20A96" w:rsidP="00CD5BF9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OLD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=18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3=54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$</m:t>
        </m:r>
      </m:oMath>
      <w:r w:rsidR="00C5180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01BDB611" w14:textId="2BC1B5A4" w:rsidR="00263FD2" w:rsidRDefault="00A17C16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a</w:t>
      </w:r>
      <w:r w:rsidR="00CD5BF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A71B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After </w:t>
      </w:r>
      <w:r w:rsidR="004B442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the </w:t>
      </w:r>
      <w:r w:rsidR="00E17B7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50% control </w:t>
      </w:r>
      <w:r w:rsidR="00A71B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leverage</w:t>
      </w:r>
      <w:r w:rsidR="004B442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d</w:t>
      </w:r>
      <w:r w:rsidR="00A71B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buyout</w:t>
      </w:r>
    </w:p>
    <w:p w14:paraId="3E89E0A4" w14:textId="44FF0D69" w:rsidR="00A71B9F" w:rsidRDefault="00A20A96" w:rsidP="004B442E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NEW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OLD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×(1+50%)=81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$</m:t>
        </m:r>
      </m:oMath>
      <w:r w:rsidR="004B442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2B94DC1F" w14:textId="6AF17325" w:rsidR="004B442E" w:rsidRDefault="004B442E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The cost </w:t>
      </w:r>
      <w:r w:rsidR="00DE108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of this operation is</w:t>
      </w:r>
    </w:p>
    <w:p w14:paraId="4BDB4934" w14:textId="3912E888" w:rsidR="00DF2F54" w:rsidRPr="003A2BDC" w:rsidRDefault="00A20A96" w:rsidP="003A2BDC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 w:hint="eastAsia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50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=25×3×50%=37.5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$</m:t>
        </m:r>
      </m:oMath>
      <w:r w:rsidR="003A2BDC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498599B5" w14:textId="62F06502" w:rsidR="003A2BDC" w:rsidRDefault="00407FCB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 cost is debt, so the total equity is</w:t>
      </w:r>
    </w:p>
    <w:p w14:paraId="2B9DE1E9" w14:textId="7A31AD13" w:rsidR="00A54C47" w:rsidRDefault="00A54C47" w:rsidP="001B3F35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E=81-37.5=43.5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$</m:t>
        </m:r>
      </m:oMath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2C3C8B12" w14:textId="4D2ABE8E" w:rsidR="001B3F35" w:rsidRDefault="001B3F35" w:rsidP="001B3F3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</w:t>
      </w:r>
      <w:r w:rsidRPr="001B3F35">
        <w:rPr>
          <w:rFonts w:ascii="Times New Roman" w:eastAsia="KaiTi" w:hAnsi="Times New Roman" w:cs="Times New Roman"/>
          <w:color w:val="000000" w:themeColor="text1"/>
          <w:sz w:val="24"/>
          <w:szCs w:val="24"/>
          <w:lang w:val="en-CN"/>
        </w:rPr>
        <w:t>he price of non-tendered shares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will change to be</w:t>
      </w:r>
    </w:p>
    <w:p w14:paraId="7BDD3090" w14:textId="172812E3" w:rsidR="001B3F35" w:rsidRPr="0084724F" w:rsidRDefault="00AD0C13" w:rsidP="0084724F">
      <w:pPr>
        <w:spacing w:line="360" w:lineRule="auto"/>
        <w:jc w:val="center"/>
        <w:rPr>
          <w:rFonts w:ascii="Times New Roman" w:eastAsia="KaiTi" w:hAnsi="Times New Roman" w:cs="Times New Roman"/>
          <w:iCs/>
          <w:color w:val="000000" w:themeColor="text1"/>
          <w:sz w:val="24"/>
          <w:szCs w:val="24"/>
        </w:rPr>
      </w:pPr>
      <m:oMath>
        <m:r>
          <w:rPr>
            <w:rFonts w:ascii="Cambria Math" w:eastAsia="KaiTi" w:hAnsi="Cambria Math" w:cs="Times New Roman" w:hint="eastAsia"/>
            <w:color w:val="000000" w:themeColor="text1"/>
            <w:sz w:val="24"/>
            <w:szCs w:val="24"/>
          </w:rPr>
          <m:t>P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=14.5$</m:t>
        </m:r>
      </m:oMath>
      <w:r w:rsidR="0084724F">
        <w:rPr>
          <w:rFonts w:ascii="Times New Roman" w:eastAsia="KaiTi" w:hAnsi="Times New Roman" w:cs="Times New Roman"/>
          <w:iCs/>
          <w:color w:val="000000" w:themeColor="text1"/>
          <w:sz w:val="24"/>
          <w:szCs w:val="24"/>
        </w:rPr>
        <w:t>.</w:t>
      </w:r>
    </w:p>
    <w:p w14:paraId="0771BAED" w14:textId="1242DE70" w:rsidR="00531B06" w:rsidRDefault="00CB7485" w:rsidP="00531B06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b</w:t>
      </w:r>
      <w:r w:rsidR="00604EB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B0439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After the 100% control leveraged buyout</w:t>
      </w:r>
      <w:r w:rsidR="00531B0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 the cost of this operation is</w:t>
      </w:r>
    </w:p>
    <w:p w14:paraId="311CC3E1" w14:textId="0A754D2A" w:rsidR="00531B06" w:rsidRPr="003A2BDC" w:rsidRDefault="00A20A96" w:rsidP="00531B06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 w:hint="eastAsia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100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=25×3=75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$</m:t>
        </m:r>
      </m:oMath>
      <w:r w:rsidR="00531B0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518874BA" w14:textId="584388CC" w:rsidR="00CB7485" w:rsidRDefault="00654F58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The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Pr="00654F5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gain from the transaction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will be</w:t>
      </w:r>
    </w:p>
    <w:p w14:paraId="31E3DDB1" w14:textId="1BEB5095" w:rsidR="0074277E" w:rsidRDefault="00A20A96" w:rsidP="000157CC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NEW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 w:hint="eastAsia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100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=6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$</m:t>
        </m:r>
      </m:oMath>
      <w:r w:rsidR="001F53C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2572D457" w14:textId="48E85C43" w:rsidR="00B21EFF" w:rsidRDefault="00B21EFF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</w:p>
    <w:p w14:paraId="46A445DE" w14:textId="58634ED0" w:rsidR="000157CC" w:rsidRDefault="000157CC" w:rsidP="000157CC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062C98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Question </w:t>
      </w:r>
      <w:r w:rsidR="007F7CBD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4</w:t>
      </w:r>
      <w:r w:rsidRPr="00062C98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.</w:t>
      </w:r>
      <w:r w:rsidRPr="0069780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</w:p>
    <w:p w14:paraId="1528507B" w14:textId="2A512D43" w:rsidR="000157CC" w:rsidRDefault="000157CC" w:rsidP="000157CC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1430F6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Answer:</w:t>
      </w:r>
      <w:r w:rsidR="00A371E3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A371E3" w:rsidRPr="00A371E3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The</w:t>
      </w:r>
      <w:r w:rsidR="00D7456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most recent twelve </w:t>
      </w:r>
      <w:r w:rsidR="00186ED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months are </w:t>
      </w:r>
      <w:r w:rsidR="00D6530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4Q</w:t>
      </w:r>
      <w:r w:rsidR="006119A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</w:t>
      </w:r>
      <w:r w:rsidR="00D6530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2013</w:t>
      </w:r>
      <w:r w:rsidR="003A616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860AD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to 3Q</w:t>
      </w:r>
      <w:r w:rsidR="006119A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</w:t>
      </w:r>
      <w:r w:rsidR="00860AD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2014</w:t>
      </w:r>
      <w:r w:rsidR="00642F0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07423C0F" w14:textId="06EA80B9" w:rsidR="00FD6546" w:rsidRDefault="00FD6546" w:rsidP="000157CC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According to the table, </w:t>
      </w:r>
      <w:r w:rsidR="00E2091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for the 4Q of 2013:</w:t>
      </w:r>
    </w:p>
    <w:p w14:paraId="17A0FF35" w14:textId="661EDF80" w:rsidR="005B6CE5" w:rsidRPr="00AC2A25" w:rsidRDefault="00FB71CF" w:rsidP="00E20910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AC2A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Taxable Income = </w:t>
      </w:r>
      <w:r w:rsidR="00C64E49" w:rsidRPr="00AC2A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225 - 170 = 55</w:t>
      </w:r>
      <w:r w:rsidR="00B567AF" w:rsidRPr="00AC2A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$</w:t>
      </w:r>
    </w:p>
    <w:p w14:paraId="658979E5" w14:textId="4C3BDBBF" w:rsidR="00AC2A25" w:rsidRDefault="00E5109E" w:rsidP="00AC2A25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AC2A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Taxes = </w:t>
      </w:r>
      <w:r w:rsidR="00CA0D6E" w:rsidRPr="00AC2A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68 - 51 = 17$</w:t>
      </w:r>
    </w:p>
    <w:p w14:paraId="2F6A1723" w14:textId="0B0D0D8C" w:rsidR="00D859FF" w:rsidRPr="00AC2A25" w:rsidRDefault="00D859FF" w:rsidP="00AC2A25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EBIT = </w:t>
      </w:r>
      <w:r w:rsidR="00C93A9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300 - 225 = 75$</w:t>
      </w:r>
    </w:p>
    <w:p w14:paraId="49FC1A50" w14:textId="335FCE1E" w:rsidR="00AC2A25" w:rsidRDefault="00AC2A25" w:rsidP="00AC2A25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AC2A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Depr &amp; Amort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= </w:t>
      </w:r>
      <w:r w:rsidR="000275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100 - 75 = 25$</w:t>
      </w:r>
    </w:p>
    <w:p w14:paraId="7D7314BC" w14:textId="5295C572" w:rsidR="00027525" w:rsidRDefault="00B90A50" w:rsidP="00AC2A25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Cap Ex = 150 </w:t>
      </w:r>
      <w:r w:rsidR="00AA1B7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110 = 40$</w:t>
      </w:r>
    </w:p>
    <w:p w14:paraId="56C48A98" w14:textId="025A2A2D" w:rsidR="003E1B20" w:rsidRPr="00EB5273" w:rsidRDefault="003E1B20" w:rsidP="003E1B20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3E1B2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Non-cash WC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Pr="003E1B2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(</w:t>
      </w:r>
      <w:r w:rsidR="00706B9D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Begin</w:t>
      </w:r>
      <w:r w:rsidR="00E9184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ning</w:t>
      </w:r>
      <w:r w:rsidR="00706B9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Pr="003E1B2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of period)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= </w:t>
      </w:r>
      <w:r w:rsidR="00363C97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0$</w:t>
      </w:r>
    </w:p>
    <w:p w14:paraId="1AD32523" w14:textId="3E597D79" w:rsidR="00196773" w:rsidRDefault="00982844" w:rsidP="00196773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The information </w:t>
      </w:r>
      <w:r w:rsidR="00FD654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for the f</w:t>
      </w:r>
      <w:r w:rsidR="00FD6546" w:rsidRPr="00982844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irst 3Q,</w:t>
      </w:r>
      <w:r w:rsidR="00FD654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FD6546" w:rsidRPr="00982844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2014</w:t>
      </w:r>
      <w:r w:rsidR="00FD654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is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in the table.</w:t>
      </w:r>
      <w:r w:rsidR="0062495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Based on that, f</w:t>
      </w:r>
      <w:r w:rsidR="0019677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or the </w:t>
      </w:r>
      <w:r w:rsidR="00D157E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most recent twelve months</w:t>
      </w:r>
      <w:r w:rsidR="0095499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:</w:t>
      </w:r>
    </w:p>
    <w:p w14:paraId="1E32DB60" w14:textId="6E8A0BB1" w:rsidR="00185DE3" w:rsidRPr="00185DE3" w:rsidRDefault="009A5D57" w:rsidP="00185DE3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lastRenderedPageBreak/>
        <w:t>EBIT</w:t>
      </w:r>
      <w:r w:rsidR="0095383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= </w:t>
      </w:r>
      <w:r w:rsidR="00B857D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260 + </w:t>
      </w:r>
      <w:r w:rsidR="00293A1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75</w:t>
      </w:r>
      <w:r w:rsidR="00A64BF4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= </w:t>
      </w:r>
      <w:r w:rsidR="00293A1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33</w:t>
      </w:r>
      <w:r w:rsidR="00A64BF4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5$</w:t>
      </w:r>
    </w:p>
    <w:p w14:paraId="65973BA0" w14:textId="38977AE3" w:rsidR="00185DE3" w:rsidRDefault="003F27AC" w:rsidP="00954993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Tax Rate = </w:t>
      </w:r>
      <w:r w:rsidR="00A32FC4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(17 + </w:t>
      </w:r>
      <w:r w:rsidR="00572052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57</w:t>
      </w:r>
      <w:r w:rsidR="00A32FC4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)</w:t>
      </w:r>
      <w:r w:rsidR="00A0623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572052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/</w:t>
      </w:r>
      <w:r w:rsidR="00A0623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572052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(55 + </w:t>
      </w:r>
      <w:r w:rsidR="00DB145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190</w:t>
      </w:r>
      <w:r w:rsidR="00572052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)</w:t>
      </w:r>
      <w:r w:rsidR="0071702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= 30.20%</w:t>
      </w:r>
    </w:p>
    <w:p w14:paraId="65869A67" w14:textId="4F607263" w:rsidR="00D140FF" w:rsidRDefault="00C2269E" w:rsidP="00954993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AC2A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Depr &amp; Amort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= </w:t>
      </w:r>
      <w:r w:rsidR="004755B7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25 + </w:t>
      </w:r>
      <w:r w:rsidR="00CA14D4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90 = 115$</w:t>
      </w:r>
    </w:p>
    <w:p w14:paraId="0F7E5200" w14:textId="3729A621" w:rsidR="006C45F0" w:rsidRPr="00954993" w:rsidRDefault="0058458F" w:rsidP="006C45F0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Cap Ex = 40 + </w:t>
      </w:r>
      <w:r w:rsidR="008E157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130 = 170$</w:t>
      </w:r>
    </w:p>
    <w:p w14:paraId="4BABEFF2" w14:textId="0A68AC81" w:rsidR="00465EED" w:rsidRDefault="006C45F0" w:rsidP="00465EED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∆</m:t>
        </m:r>
      </m:oMath>
      <w:r w:rsidR="00A55BCB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WC</w:t>
      </w:r>
      <w:r w:rsidR="00A55BC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= </w:t>
      </w:r>
      <w:r w:rsidR="00E9184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80 </w:t>
      </w:r>
      <w:r w:rsidR="00465EE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- 100 = </w:t>
      </w:r>
      <w:r w:rsidR="00BE2F9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-</w:t>
      </w:r>
      <w:r w:rsidR="00465EE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20$</w:t>
      </w:r>
    </w:p>
    <w:p w14:paraId="38C66D20" w14:textId="77777777" w:rsidR="00CD1D00" w:rsidRDefault="00020C0B" w:rsidP="00465EED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Then we can estimate the</w:t>
      </w:r>
      <w:r w:rsidR="00672AE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:</w:t>
      </w:r>
    </w:p>
    <w:p w14:paraId="3762DF7B" w14:textId="7C307CE6" w:rsidR="00020C0B" w:rsidRPr="00465EED" w:rsidRDefault="00020C0B" w:rsidP="00CD1D00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FCFF</w:t>
      </w:r>
      <w:r w:rsidR="00EF60C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= EBIT(1- Tax Rate) </w:t>
      </w:r>
      <w:r w:rsidR="006C3D9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+</w:t>
      </w:r>
      <w:r w:rsidR="00EF60C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672AEB" w:rsidRPr="00AC2A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Depr &amp; Amort</w:t>
      </w:r>
      <w:r w:rsidR="00672AE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- </w:t>
      </w:r>
      <w:r w:rsidR="006C3D9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Cap Ex </w:t>
      </w:r>
      <w:r w:rsidR="00312CE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- </w:t>
      </w: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∆</m:t>
        </m:r>
      </m:oMath>
      <w:r w:rsidR="001303F9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WC</w:t>
      </w:r>
      <w:r w:rsidR="001303F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= </w:t>
      </w:r>
      <w:r w:rsidR="00571F8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1</w:t>
      </w:r>
      <w:r w:rsidR="003413AC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98</w:t>
      </w:r>
      <w:r w:rsidR="006E29C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.83</w:t>
      </w:r>
      <w:r w:rsidR="00571F8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$</w:t>
      </w:r>
    </w:p>
    <w:sectPr w:rsidR="00020C0B" w:rsidRPr="00465EED" w:rsidSect="005A2E8F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77DAE" w14:textId="77777777" w:rsidR="00A20A96" w:rsidRDefault="00A20A96" w:rsidP="003640D0">
      <w:r>
        <w:separator/>
      </w:r>
    </w:p>
  </w:endnote>
  <w:endnote w:type="continuationSeparator" w:id="0">
    <w:p w14:paraId="241AD2A3" w14:textId="77777777" w:rsidR="00A20A96" w:rsidRDefault="00A20A96" w:rsidP="0036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57075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8AD2CD" w14:textId="5DBE7971" w:rsidR="003210DF" w:rsidRDefault="003210DF" w:rsidP="001A463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A6C381" w14:textId="77777777" w:rsidR="003210DF" w:rsidRDefault="00321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94592501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42B85167" w14:textId="12680C7B" w:rsidR="003210DF" w:rsidRPr="003210DF" w:rsidRDefault="003210DF" w:rsidP="003210DF">
        <w:pPr>
          <w:pStyle w:val="Footer"/>
          <w:jc w:val="center"/>
          <w:rPr>
            <w:rFonts w:ascii="Times New Roman" w:hAnsi="Times New Roman" w:cs="Times New Roman"/>
          </w:rPr>
        </w:pPr>
        <w:r w:rsidRPr="003210DF">
          <w:rPr>
            <w:rStyle w:val="PageNumber"/>
            <w:rFonts w:ascii="Times New Roman" w:hAnsi="Times New Roman" w:cs="Times New Roman"/>
          </w:rPr>
          <w:fldChar w:fldCharType="begin"/>
        </w:r>
        <w:r w:rsidRPr="003210DF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210DF">
          <w:rPr>
            <w:rStyle w:val="PageNumber"/>
            <w:rFonts w:ascii="Times New Roman" w:hAnsi="Times New Roman" w:cs="Times New Roman"/>
          </w:rPr>
          <w:fldChar w:fldCharType="separate"/>
        </w:r>
        <w:r w:rsidRPr="003210DF">
          <w:rPr>
            <w:rStyle w:val="PageNumber"/>
            <w:rFonts w:ascii="Times New Roman" w:hAnsi="Times New Roman" w:cs="Times New Roman"/>
          </w:rPr>
          <w:t>1</w:t>
        </w:r>
        <w:r w:rsidRPr="003210DF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B313B" w14:textId="77777777" w:rsidR="00A20A96" w:rsidRDefault="00A20A96" w:rsidP="003640D0">
      <w:r>
        <w:separator/>
      </w:r>
    </w:p>
  </w:footnote>
  <w:footnote w:type="continuationSeparator" w:id="0">
    <w:p w14:paraId="36F742AE" w14:textId="77777777" w:rsidR="00A20A96" w:rsidRDefault="00A20A96" w:rsidP="00364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D077" w14:textId="44D967D3" w:rsidR="003640D0" w:rsidRPr="004B4800" w:rsidRDefault="00554372" w:rsidP="00304DA7">
    <w:pPr>
      <w:pBdr>
        <w:bottom w:val="single" w:sz="4" w:space="1" w:color="auto"/>
      </w:pBdr>
      <w:jc w:val="center"/>
      <w:rPr>
        <w:rFonts w:ascii="Times New Roman" w:eastAsia="Malgun Gothic" w:hAnsi="Times New Roman" w:cs="Times New Roman"/>
        <w:b/>
        <w:bCs/>
        <w:lang w:eastAsia="ko-KR"/>
      </w:rPr>
    </w:pPr>
    <w:r>
      <w:rPr>
        <w:rFonts w:ascii="Times New Roman" w:eastAsia="Malgun Gothic" w:hAnsi="Times New Roman" w:cs="Times New Roman"/>
        <w:b/>
        <w:bCs/>
        <w:lang w:eastAsia="ko-KR"/>
      </w:rPr>
      <w:t>Assignment</w:t>
    </w:r>
    <w:r w:rsidR="003640D0" w:rsidRPr="004B4800">
      <w:rPr>
        <w:rFonts w:ascii="Times New Roman" w:eastAsia="Malgun Gothic" w:hAnsi="Times New Roman" w:cs="Times New Roman"/>
        <w:b/>
        <w:bCs/>
        <w:lang w:eastAsia="ko-KR"/>
      </w:rPr>
      <w:t xml:space="preserve">   </w:t>
    </w:r>
    <w:r w:rsidR="00304DA7" w:rsidRPr="004B4800">
      <w:rPr>
        <w:rFonts w:ascii="Times New Roman" w:eastAsia="Malgun Gothic" w:hAnsi="Times New Roman" w:cs="Times New Roman"/>
        <w:b/>
        <w:bCs/>
        <w:lang w:eastAsia="ko-KR"/>
      </w:rPr>
      <w:t xml:space="preserve">          </w:t>
    </w:r>
    <w:r>
      <w:rPr>
        <w:rFonts w:ascii="Times New Roman" w:eastAsia="Malgun Gothic" w:hAnsi="Times New Roman" w:cs="Times New Roman"/>
        <w:b/>
        <w:bCs/>
        <w:lang w:eastAsia="ko-KR"/>
      </w:rPr>
      <w:t xml:space="preserve">                     </w:t>
    </w:r>
    <w:r w:rsidR="00304DA7" w:rsidRPr="004B4800">
      <w:rPr>
        <w:rFonts w:ascii="Times New Roman" w:eastAsia="Malgun Gothic" w:hAnsi="Times New Roman" w:cs="Times New Roman"/>
        <w:b/>
        <w:bCs/>
        <w:lang w:eastAsia="ko-KR"/>
      </w:rPr>
      <w:t xml:space="preserve">  </w:t>
    </w:r>
    <w:r w:rsidR="003640D0" w:rsidRPr="004B4800">
      <w:rPr>
        <w:rFonts w:ascii="Times New Roman" w:eastAsia="Malgun Gothic" w:hAnsi="Times New Roman" w:cs="Times New Roman"/>
        <w:b/>
        <w:bCs/>
        <w:lang w:eastAsia="ko-KR"/>
      </w:rPr>
      <w:t>Name</w:t>
    </w:r>
    <w:r w:rsidR="003640D0" w:rsidRPr="004B4800">
      <w:rPr>
        <w:rFonts w:ascii="Times New Roman" w:eastAsia="Malgun Gothic" w:hAnsi="Times New Roman" w:cs="Times New Roman"/>
        <w:lang w:eastAsia="ko-KR"/>
      </w:rPr>
      <w:t xml:space="preserve">: </w:t>
    </w:r>
    <w:r w:rsidR="002F6A78" w:rsidRPr="000E53B9">
      <w:rPr>
        <w:rFonts w:ascii="KaiTi" w:eastAsia="KaiTi" w:hAnsi="KaiTi" w:cs="Times New Roman" w:hint="eastAsia"/>
      </w:rPr>
      <w:t>任凯</w:t>
    </w:r>
    <w:r w:rsidR="003640D0" w:rsidRPr="004B4800">
      <w:rPr>
        <w:rFonts w:ascii="Times New Roman" w:eastAsia="Malgun Gothic" w:hAnsi="Times New Roman" w:cs="Times New Roman"/>
      </w:rPr>
      <w:t xml:space="preserve"> </w:t>
    </w:r>
    <w:r w:rsidR="003640D0" w:rsidRPr="004B4800">
      <w:rPr>
        <w:rFonts w:ascii="Times New Roman" w:eastAsia="Malgun Gothic" w:hAnsi="Times New Roman" w:cs="Times New Roman"/>
        <w:lang w:eastAsia="ko-KR"/>
      </w:rPr>
      <w:t>(Student ID: 2401212437)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44E3"/>
    <w:multiLevelType w:val="hybridMultilevel"/>
    <w:tmpl w:val="4D8ED436"/>
    <w:lvl w:ilvl="0" w:tplc="3BC67B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9FA"/>
    <w:multiLevelType w:val="hybridMultilevel"/>
    <w:tmpl w:val="EC700958"/>
    <w:lvl w:ilvl="0" w:tplc="3A04F32E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9475631"/>
    <w:multiLevelType w:val="multilevel"/>
    <w:tmpl w:val="967C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03C1C"/>
    <w:multiLevelType w:val="hybridMultilevel"/>
    <w:tmpl w:val="037C2506"/>
    <w:lvl w:ilvl="0" w:tplc="5C28E22A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10B4D"/>
    <w:multiLevelType w:val="hybridMultilevel"/>
    <w:tmpl w:val="0786F116"/>
    <w:lvl w:ilvl="0" w:tplc="09521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D585C"/>
    <w:multiLevelType w:val="hybridMultilevel"/>
    <w:tmpl w:val="CF801022"/>
    <w:lvl w:ilvl="0" w:tplc="31A4C9D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6FB5EB7"/>
    <w:multiLevelType w:val="hybridMultilevel"/>
    <w:tmpl w:val="BCAEEBA8"/>
    <w:lvl w:ilvl="0" w:tplc="F9108B0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20B81"/>
    <w:multiLevelType w:val="hybridMultilevel"/>
    <w:tmpl w:val="D7AA2482"/>
    <w:lvl w:ilvl="0" w:tplc="D7C8C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6329D"/>
    <w:multiLevelType w:val="hybridMultilevel"/>
    <w:tmpl w:val="E34ED7B4"/>
    <w:lvl w:ilvl="0" w:tplc="EFBEF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D27FF"/>
    <w:multiLevelType w:val="hybridMultilevel"/>
    <w:tmpl w:val="420C3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449B3"/>
    <w:multiLevelType w:val="hybridMultilevel"/>
    <w:tmpl w:val="31F86D92"/>
    <w:lvl w:ilvl="0" w:tplc="F6CED0DC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71CD8"/>
    <w:multiLevelType w:val="hybridMultilevel"/>
    <w:tmpl w:val="FEC09CA4"/>
    <w:lvl w:ilvl="0" w:tplc="6FE8965E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52307"/>
    <w:multiLevelType w:val="hybridMultilevel"/>
    <w:tmpl w:val="8064F858"/>
    <w:lvl w:ilvl="0" w:tplc="325C4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B2BFF"/>
    <w:multiLevelType w:val="hybridMultilevel"/>
    <w:tmpl w:val="37D2BCA4"/>
    <w:lvl w:ilvl="0" w:tplc="536CBFA2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F34E2"/>
    <w:multiLevelType w:val="hybridMultilevel"/>
    <w:tmpl w:val="80EA3A2A"/>
    <w:lvl w:ilvl="0" w:tplc="5A98D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353141">
    <w:abstractNumId w:val="5"/>
  </w:num>
  <w:num w:numId="2" w16cid:durableId="516698746">
    <w:abstractNumId w:val="1"/>
  </w:num>
  <w:num w:numId="3" w16cid:durableId="1841845466">
    <w:abstractNumId w:val="8"/>
  </w:num>
  <w:num w:numId="4" w16cid:durableId="2028293285">
    <w:abstractNumId w:val="12"/>
  </w:num>
  <w:num w:numId="5" w16cid:durableId="523787407">
    <w:abstractNumId w:val="0"/>
  </w:num>
  <w:num w:numId="6" w16cid:durableId="643461988">
    <w:abstractNumId w:val="4"/>
  </w:num>
  <w:num w:numId="7" w16cid:durableId="1887527930">
    <w:abstractNumId w:val="14"/>
  </w:num>
  <w:num w:numId="8" w16cid:durableId="802429384">
    <w:abstractNumId w:val="9"/>
  </w:num>
  <w:num w:numId="9" w16cid:durableId="1048456247">
    <w:abstractNumId w:val="7"/>
  </w:num>
  <w:num w:numId="10" w16cid:durableId="29570060">
    <w:abstractNumId w:val="10"/>
  </w:num>
  <w:num w:numId="11" w16cid:durableId="667295279">
    <w:abstractNumId w:val="13"/>
  </w:num>
  <w:num w:numId="12" w16cid:durableId="731776810">
    <w:abstractNumId w:val="2"/>
  </w:num>
  <w:num w:numId="13" w16cid:durableId="348143681">
    <w:abstractNumId w:val="3"/>
  </w:num>
  <w:num w:numId="14" w16cid:durableId="406462293">
    <w:abstractNumId w:val="6"/>
  </w:num>
  <w:num w:numId="15" w16cid:durableId="8491753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05"/>
    <w:rsid w:val="00007EC2"/>
    <w:rsid w:val="00013D19"/>
    <w:rsid w:val="000157CC"/>
    <w:rsid w:val="00020C0B"/>
    <w:rsid w:val="00023259"/>
    <w:rsid w:val="00025B50"/>
    <w:rsid w:val="00026763"/>
    <w:rsid w:val="00027525"/>
    <w:rsid w:val="00041A39"/>
    <w:rsid w:val="000430C7"/>
    <w:rsid w:val="00052ABE"/>
    <w:rsid w:val="00062C98"/>
    <w:rsid w:val="0006523F"/>
    <w:rsid w:val="00066458"/>
    <w:rsid w:val="0007117A"/>
    <w:rsid w:val="00074834"/>
    <w:rsid w:val="00074AE9"/>
    <w:rsid w:val="0009377E"/>
    <w:rsid w:val="00095AA8"/>
    <w:rsid w:val="000972B3"/>
    <w:rsid w:val="000A00EA"/>
    <w:rsid w:val="000A706F"/>
    <w:rsid w:val="000A776A"/>
    <w:rsid w:val="000A786A"/>
    <w:rsid w:val="000B5084"/>
    <w:rsid w:val="000C1981"/>
    <w:rsid w:val="000D5F78"/>
    <w:rsid w:val="000D7B0B"/>
    <w:rsid w:val="000E22EB"/>
    <w:rsid w:val="000E53B9"/>
    <w:rsid w:val="000E5421"/>
    <w:rsid w:val="000E6BB9"/>
    <w:rsid w:val="000E7005"/>
    <w:rsid w:val="000E7284"/>
    <w:rsid w:val="000F0FE3"/>
    <w:rsid w:val="001026BF"/>
    <w:rsid w:val="001058D0"/>
    <w:rsid w:val="00106EBE"/>
    <w:rsid w:val="00112226"/>
    <w:rsid w:val="00115ECC"/>
    <w:rsid w:val="00121F86"/>
    <w:rsid w:val="00126347"/>
    <w:rsid w:val="001300E6"/>
    <w:rsid w:val="001303F9"/>
    <w:rsid w:val="0013554A"/>
    <w:rsid w:val="00135717"/>
    <w:rsid w:val="00141B33"/>
    <w:rsid w:val="001430F6"/>
    <w:rsid w:val="0014358B"/>
    <w:rsid w:val="00143EAE"/>
    <w:rsid w:val="00167748"/>
    <w:rsid w:val="001703BF"/>
    <w:rsid w:val="001708AB"/>
    <w:rsid w:val="00171C6C"/>
    <w:rsid w:val="00173181"/>
    <w:rsid w:val="001739F6"/>
    <w:rsid w:val="0018180E"/>
    <w:rsid w:val="00185DE3"/>
    <w:rsid w:val="00186EDF"/>
    <w:rsid w:val="00196773"/>
    <w:rsid w:val="001A5AF8"/>
    <w:rsid w:val="001A5FD1"/>
    <w:rsid w:val="001A62C1"/>
    <w:rsid w:val="001A763A"/>
    <w:rsid w:val="001A770C"/>
    <w:rsid w:val="001B00C3"/>
    <w:rsid w:val="001B3F35"/>
    <w:rsid w:val="001B5F8E"/>
    <w:rsid w:val="001B72C5"/>
    <w:rsid w:val="001C59FF"/>
    <w:rsid w:val="001D076B"/>
    <w:rsid w:val="001F53C1"/>
    <w:rsid w:val="001F6CA1"/>
    <w:rsid w:val="00215E41"/>
    <w:rsid w:val="002163E9"/>
    <w:rsid w:val="0021747A"/>
    <w:rsid w:val="00220806"/>
    <w:rsid w:val="00221AB7"/>
    <w:rsid w:val="00226E2D"/>
    <w:rsid w:val="00231F26"/>
    <w:rsid w:val="00235D69"/>
    <w:rsid w:val="00241739"/>
    <w:rsid w:val="00241F23"/>
    <w:rsid w:val="00244707"/>
    <w:rsid w:val="00247E05"/>
    <w:rsid w:val="00255067"/>
    <w:rsid w:val="0025549D"/>
    <w:rsid w:val="00263FD2"/>
    <w:rsid w:val="00266370"/>
    <w:rsid w:val="002715EA"/>
    <w:rsid w:val="00280814"/>
    <w:rsid w:val="002819FB"/>
    <w:rsid w:val="00283C09"/>
    <w:rsid w:val="00291A0C"/>
    <w:rsid w:val="002933C1"/>
    <w:rsid w:val="00293A11"/>
    <w:rsid w:val="00294074"/>
    <w:rsid w:val="002945B5"/>
    <w:rsid w:val="002B5172"/>
    <w:rsid w:val="002B70C0"/>
    <w:rsid w:val="002B7B0A"/>
    <w:rsid w:val="002C2771"/>
    <w:rsid w:val="002D5731"/>
    <w:rsid w:val="002E299B"/>
    <w:rsid w:val="002E3F32"/>
    <w:rsid w:val="002E67CE"/>
    <w:rsid w:val="002F6962"/>
    <w:rsid w:val="002F6A78"/>
    <w:rsid w:val="00302C54"/>
    <w:rsid w:val="00304DA7"/>
    <w:rsid w:val="00307D46"/>
    <w:rsid w:val="00312CE5"/>
    <w:rsid w:val="00315493"/>
    <w:rsid w:val="003210DF"/>
    <w:rsid w:val="00321283"/>
    <w:rsid w:val="003212E7"/>
    <w:rsid w:val="0032737C"/>
    <w:rsid w:val="00330BE1"/>
    <w:rsid w:val="00332686"/>
    <w:rsid w:val="00335DBC"/>
    <w:rsid w:val="003371C2"/>
    <w:rsid w:val="00337414"/>
    <w:rsid w:val="003413AC"/>
    <w:rsid w:val="00341DA1"/>
    <w:rsid w:val="0035252E"/>
    <w:rsid w:val="003526D9"/>
    <w:rsid w:val="00353AEF"/>
    <w:rsid w:val="00353EDD"/>
    <w:rsid w:val="00355EE8"/>
    <w:rsid w:val="00360FE2"/>
    <w:rsid w:val="00363C97"/>
    <w:rsid w:val="003640D0"/>
    <w:rsid w:val="003657AF"/>
    <w:rsid w:val="00370751"/>
    <w:rsid w:val="00372F60"/>
    <w:rsid w:val="003742E4"/>
    <w:rsid w:val="00375274"/>
    <w:rsid w:val="00376213"/>
    <w:rsid w:val="00381221"/>
    <w:rsid w:val="00382866"/>
    <w:rsid w:val="00384129"/>
    <w:rsid w:val="003A2BDC"/>
    <w:rsid w:val="003A6163"/>
    <w:rsid w:val="003B51B7"/>
    <w:rsid w:val="003B696D"/>
    <w:rsid w:val="003B767C"/>
    <w:rsid w:val="003C4B50"/>
    <w:rsid w:val="003C546B"/>
    <w:rsid w:val="003C7209"/>
    <w:rsid w:val="003C7F14"/>
    <w:rsid w:val="003D15B8"/>
    <w:rsid w:val="003D46BD"/>
    <w:rsid w:val="003D7CEE"/>
    <w:rsid w:val="003E0073"/>
    <w:rsid w:val="003E0095"/>
    <w:rsid w:val="003E1B20"/>
    <w:rsid w:val="003E3879"/>
    <w:rsid w:val="003E7026"/>
    <w:rsid w:val="003F27AC"/>
    <w:rsid w:val="003F52AD"/>
    <w:rsid w:val="00407FCB"/>
    <w:rsid w:val="00410039"/>
    <w:rsid w:val="004126F0"/>
    <w:rsid w:val="004226F5"/>
    <w:rsid w:val="00423D27"/>
    <w:rsid w:val="004257E5"/>
    <w:rsid w:val="00431820"/>
    <w:rsid w:val="004424B9"/>
    <w:rsid w:val="004547CE"/>
    <w:rsid w:val="00454F47"/>
    <w:rsid w:val="0045725C"/>
    <w:rsid w:val="0046420C"/>
    <w:rsid w:val="00465EED"/>
    <w:rsid w:val="00466EC3"/>
    <w:rsid w:val="00473D8A"/>
    <w:rsid w:val="004755B7"/>
    <w:rsid w:val="00480E51"/>
    <w:rsid w:val="004855CF"/>
    <w:rsid w:val="00486313"/>
    <w:rsid w:val="004867B0"/>
    <w:rsid w:val="004922E3"/>
    <w:rsid w:val="00496D4D"/>
    <w:rsid w:val="004A0C1E"/>
    <w:rsid w:val="004A2C27"/>
    <w:rsid w:val="004A64B9"/>
    <w:rsid w:val="004A70B7"/>
    <w:rsid w:val="004B442E"/>
    <w:rsid w:val="004B4800"/>
    <w:rsid w:val="004B5A53"/>
    <w:rsid w:val="004B60CD"/>
    <w:rsid w:val="004C2EA7"/>
    <w:rsid w:val="004C6ECD"/>
    <w:rsid w:val="004C7F8D"/>
    <w:rsid w:val="004D3F5C"/>
    <w:rsid w:val="004D5DF7"/>
    <w:rsid w:val="004D731F"/>
    <w:rsid w:val="004D7DFA"/>
    <w:rsid w:val="004F0E22"/>
    <w:rsid w:val="00500FCF"/>
    <w:rsid w:val="00506B26"/>
    <w:rsid w:val="00514C9F"/>
    <w:rsid w:val="0051725F"/>
    <w:rsid w:val="00524A27"/>
    <w:rsid w:val="00525206"/>
    <w:rsid w:val="005256CE"/>
    <w:rsid w:val="00531B06"/>
    <w:rsid w:val="00534B9E"/>
    <w:rsid w:val="005351DE"/>
    <w:rsid w:val="0054170D"/>
    <w:rsid w:val="0054195B"/>
    <w:rsid w:val="00544A1F"/>
    <w:rsid w:val="00546446"/>
    <w:rsid w:val="00546784"/>
    <w:rsid w:val="0055246D"/>
    <w:rsid w:val="00554372"/>
    <w:rsid w:val="00557AC4"/>
    <w:rsid w:val="005643D6"/>
    <w:rsid w:val="0056526F"/>
    <w:rsid w:val="005677B1"/>
    <w:rsid w:val="00571F88"/>
    <w:rsid w:val="00572025"/>
    <w:rsid w:val="00572052"/>
    <w:rsid w:val="00572356"/>
    <w:rsid w:val="0057386A"/>
    <w:rsid w:val="00574362"/>
    <w:rsid w:val="00582FD8"/>
    <w:rsid w:val="00583A21"/>
    <w:rsid w:val="0058458F"/>
    <w:rsid w:val="00585A3B"/>
    <w:rsid w:val="005909EC"/>
    <w:rsid w:val="0059127B"/>
    <w:rsid w:val="0059635D"/>
    <w:rsid w:val="005A2E8F"/>
    <w:rsid w:val="005A477C"/>
    <w:rsid w:val="005A72E7"/>
    <w:rsid w:val="005A746F"/>
    <w:rsid w:val="005B3A98"/>
    <w:rsid w:val="005B55FF"/>
    <w:rsid w:val="005B6CE5"/>
    <w:rsid w:val="005D159C"/>
    <w:rsid w:val="005D5C81"/>
    <w:rsid w:val="005D696A"/>
    <w:rsid w:val="005D6B7E"/>
    <w:rsid w:val="005D6F5F"/>
    <w:rsid w:val="005E4FB3"/>
    <w:rsid w:val="005E5799"/>
    <w:rsid w:val="005E5DA2"/>
    <w:rsid w:val="005F3BBB"/>
    <w:rsid w:val="0060198D"/>
    <w:rsid w:val="00601E57"/>
    <w:rsid w:val="0060429F"/>
    <w:rsid w:val="00604991"/>
    <w:rsid w:val="00604B5B"/>
    <w:rsid w:val="00604EB9"/>
    <w:rsid w:val="006119AE"/>
    <w:rsid w:val="00612A10"/>
    <w:rsid w:val="00613436"/>
    <w:rsid w:val="00615F6D"/>
    <w:rsid w:val="00620FE7"/>
    <w:rsid w:val="00624958"/>
    <w:rsid w:val="00624B2F"/>
    <w:rsid w:val="006345FB"/>
    <w:rsid w:val="00637336"/>
    <w:rsid w:val="00642F09"/>
    <w:rsid w:val="006433FB"/>
    <w:rsid w:val="00643BF0"/>
    <w:rsid w:val="00644A3A"/>
    <w:rsid w:val="00647EC4"/>
    <w:rsid w:val="006504D6"/>
    <w:rsid w:val="00654F58"/>
    <w:rsid w:val="006556BD"/>
    <w:rsid w:val="00656BA0"/>
    <w:rsid w:val="00663488"/>
    <w:rsid w:val="006634C6"/>
    <w:rsid w:val="00672AEB"/>
    <w:rsid w:val="00674B6E"/>
    <w:rsid w:val="0068297B"/>
    <w:rsid w:val="00685513"/>
    <w:rsid w:val="00690FF3"/>
    <w:rsid w:val="006939DD"/>
    <w:rsid w:val="00694E46"/>
    <w:rsid w:val="00694F46"/>
    <w:rsid w:val="00697808"/>
    <w:rsid w:val="006A179B"/>
    <w:rsid w:val="006A3DDF"/>
    <w:rsid w:val="006A3E11"/>
    <w:rsid w:val="006A4FE1"/>
    <w:rsid w:val="006B0772"/>
    <w:rsid w:val="006B0F18"/>
    <w:rsid w:val="006B27DE"/>
    <w:rsid w:val="006B6235"/>
    <w:rsid w:val="006C3D95"/>
    <w:rsid w:val="006C45F0"/>
    <w:rsid w:val="006C536F"/>
    <w:rsid w:val="006D671B"/>
    <w:rsid w:val="006E0EEC"/>
    <w:rsid w:val="006E212F"/>
    <w:rsid w:val="006E29C8"/>
    <w:rsid w:val="006E42C8"/>
    <w:rsid w:val="006E44C7"/>
    <w:rsid w:val="0070163E"/>
    <w:rsid w:val="00706B9D"/>
    <w:rsid w:val="00712B52"/>
    <w:rsid w:val="007149AE"/>
    <w:rsid w:val="007157B9"/>
    <w:rsid w:val="0071666F"/>
    <w:rsid w:val="00717026"/>
    <w:rsid w:val="007250FE"/>
    <w:rsid w:val="00726669"/>
    <w:rsid w:val="007272AE"/>
    <w:rsid w:val="00727825"/>
    <w:rsid w:val="007326EA"/>
    <w:rsid w:val="007337FA"/>
    <w:rsid w:val="00741367"/>
    <w:rsid w:val="0074277E"/>
    <w:rsid w:val="0075066D"/>
    <w:rsid w:val="007509AE"/>
    <w:rsid w:val="00751067"/>
    <w:rsid w:val="007574C7"/>
    <w:rsid w:val="0076521B"/>
    <w:rsid w:val="00771E8D"/>
    <w:rsid w:val="007738DB"/>
    <w:rsid w:val="00773E61"/>
    <w:rsid w:val="0077435A"/>
    <w:rsid w:val="007768B4"/>
    <w:rsid w:val="00790C83"/>
    <w:rsid w:val="00792D74"/>
    <w:rsid w:val="00796185"/>
    <w:rsid w:val="00797234"/>
    <w:rsid w:val="007A1B51"/>
    <w:rsid w:val="007A2655"/>
    <w:rsid w:val="007B0EC2"/>
    <w:rsid w:val="007B73CC"/>
    <w:rsid w:val="007C2B35"/>
    <w:rsid w:val="007D0629"/>
    <w:rsid w:val="007D2251"/>
    <w:rsid w:val="007D22C2"/>
    <w:rsid w:val="007E0BED"/>
    <w:rsid w:val="007E30FE"/>
    <w:rsid w:val="007E6817"/>
    <w:rsid w:val="007F096A"/>
    <w:rsid w:val="007F7CBD"/>
    <w:rsid w:val="00805C80"/>
    <w:rsid w:val="0081000A"/>
    <w:rsid w:val="00813560"/>
    <w:rsid w:val="008138FE"/>
    <w:rsid w:val="00816F2A"/>
    <w:rsid w:val="00817C10"/>
    <w:rsid w:val="00820C76"/>
    <w:rsid w:val="00831E00"/>
    <w:rsid w:val="00831F21"/>
    <w:rsid w:val="00831FCF"/>
    <w:rsid w:val="00832681"/>
    <w:rsid w:val="0084724F"/>
    <w:rsid w:val="00860ADD"/>
    <w:rsid w:val="008614F1"/>
    <w:rsid w:val="00862A76"/>
    <w:rsid w:val="0087122A"/>
    <w:rsid w:val="008732A6"/>
    <w:rsid w:val="0087709C"/>
    <w:rsid w:val="00886C01"/>
    <w:rsid w:val="00886EB9"/>
    <w:rsid w:val="00895F63"/>
    <w:rsid w:val="008A0443"/>
    <w:rsid w:val="008A0482"/>
    <w:rsid w:val="008A301E"/>
    <w:rsid w:val="008B5362"/>
    <w:rsid w:val="008B6339"/>
    <w:rsid w:val="008B6EE4"/>
    <w:rsid w:val="008B7B22"/>
    <w:rsid w:val="008B7DC4"/>
    <w:rsid w:val="008C263D"/>
    <w:rsid w:val="008D572E"/>
    <w:rsid w:val="008D76D2"/>
    <w:rsid w:val="008E1571"/>
    <w:rsid w:val="008E374A"/>
    <w:rsid w:val="008F066D"/>
    <w:rsid w:val="008F19BB"/>
    <w:rsid w:val="008F2508"/>
    <w:rsid w:val="008F305A"/>
    <w:rsid w:val="008F78D3"/>
    <w:rsid w:val="00902C71"/>
    <w:rsid w:val="009102F8"/>
    <w:rsid w:val="00914AF2"/>
    <w:rsid w:val="00927F4F"/>
    <w:rsid w:val="0093156B"/>
    <w:rsid w:val="00934430"/>
    <w:rsid w:val="00935748"/>
    <w:rsid w:val="00940363"/>
    <w:rsid w:val="00940A19"/>
    <w:rsid w:val="00945AAA"/>
    <w:rsid w:val="00945E81"/>
    <w:rsid w:val="00951AF1"/>
    <w:rsid w:val="009525F4"/>
    <w:rsid w:val="0095383B"/>
    <w:rsid w:val="00954993"/>
    <w:rsid w:val="0095507B"/>
    <w:rsid w:val="00965F19"/>
    <w:rsid w:val="00967A0C"/>
    <w:rsid w:val="0097050B"/>
    <w:rsid w:val="0097254B"/>
    <w:rsid w:val="009761A7"/>
    <w:rsid w:val="00977F00"/>
    <w:rsid w:val="00977F14"/>
    <w:rsid w:val="00980F9A"/>
    <w:rsid w:val="0098192D"/>
    <w:rsid w:val="009821F2"/>
    <w:rsid w:val="00982844"/>
    <w:rsid w:val="009867E5"/>
    <w:rsid w:val="00992AEB"/>
    <w:rsid w:val="009A187D"/>
    <w:rsid w:val="009A3C6E"/>
    <w:rsid w:val="009A5714"/>
    <w:rsid w:val="009A5D57"/>
    <w:rsid w:val="009A7021"/>
    <w:rsid w:val="009A7211"/>
    <w:rsid w:val="009B20BA"/>
    <w:rsid w:val="009B41F5"/>
    <w:rsid w:val="009C3C4A"/>
    <w:rsid w:val="009C4678"/>
    <w:rsid w:val="009C5010"/>
    <w:rsid w:val="009C593D"/>
    <w:rsid w:val="009D542E"/>
    <w:rsid w:val="009F15D9"/>
    <w:rsid w:val="009F4584"/>
    <w:rsid w:val="009F4699"/>
    <w:rsid w:val="009F7967"/>
    <w:rsid w:val="00A01DC6"/>
    <w:rsid w:val="00A03AEC"/>
    <w:rsid w:val="00A06230"/>
    <w:rsid w:val="00A166F0"/>
    <w:rsid w:val="00A17C16"/>
    <w:rsid w:val="00A20A96"/>
    <w:rsid w:val="00A21C22"/>
    <w:rsid w:val="00A27E1C"/>
    <w:rsid w:val="00A30F37"/>
    <w:rsid w:val="00A32A72"/>
    <w:rsid w:val="00A32FC4"/>
    <w:rsid w:val="00A34815"/>
    <w:rsid w:val="00A371E3"/>
    <w:rsid w:val="00A37A84"/>
    <w:rsid w:val="00A54C47"/>
    <w:rsid w:val="00A55BCB"/>
    <w:rsid w:val="00A57AD5"/>
    <w:rsid w:val="00A623C0"/>
    <w:rsid w:val="00A62600"/>
    <w:rsid w:val="00A63739"/>
    <w:rsid w:val="00A64131"/>
    <w:rsid w:val="00A64BF4"/>
    <w:rsid w:val="00A66EA0"/>
    <w:rsid w:val="00A71B9F"/>
    <w:rsid w:val="00A736C1"/>
    <w:rsid w:val="00A74062"/>
    <w:rsid w:val="00A74596"/>
    <w:rsid w:val="00A83265"/>
    <w:rsid w:val="00A87F8D"/>
    <w:rsid w:val="00A950CA"/>
    <w:rsid w:val="00A95300"/>
    <w:rsid w:val="00AA1B7D"/>
    <w:rsid w:val="00AA6E4B"/>
    <w:rsid w:val="00AA7F02"/>
    <w:rsid w:val="00AB1658"/>
    <w:rsid w:val="00AB18E4"/>
    <w:rsid w:val="00AB7D9D"/>
    <w:rsid w:val="00AC21B7"/>
    <w:rsid w:val="00AC2A25"/>
    <w:rsid w:val="00AC2F63"/>
    <w:rsid w:val="00AD0C13"/>
    <w:rsid w:val="00AD4338"/>
    <w:rsid w:val="00AE1077"/>
    <w:rsid w:val="00AE3067"/>
    <w:rsid w:val="00AE372A"/>
    <w:rsid w:val="00B01639"/>
    <w:rsid w:val="00B0236C"/>
    <w:rsid w:val="00B0238E"/>
    <w:rsid w:val="00B04399"/>
    <w:rsid w:val="00B05E93"/>
    <w:rsid w:val="00B15F98"/>
    <w:rsid w:val="00B21EFF"/>
    <w:rsid w:val="00B22E30"/>
    <w:rsid w:val="00B24F21"/>
    <w:rsid w:val="00B278EA"/>
    <w:rsid w:val="00B27EB1"/>
    <w:rsid w:val="00B31651"/>
    <w:rsid w:val="00B352A7"/>
    <w:rsid w:val="00B363D6"/>
    <w:rsid w:val="00B37BA7"/>
    <w:rsid w:val="00B55B8B"/>
    <w:rsid w:val="00B567AF"/>
    <w:rsid w:val="00B73799"/>
    <w:rsid w:val="00B77979"/>
    <w:rsid w:val="00B857DB"/>
    <w:rsid w:val="00B90A50"/>
    <w:rsid w:val="00B910F4"/>
    <w:rsid w:val="00B920B6"/>
    <w:rsid w:val="00BA39C7"/>
    <w:rsid w:val="00BA3A08"/>
    <w:rsid w:val="00BA6856"/>
    <w:rsid w:val="00BB0173"/>
    <w:rsid w:val="00BB693A"/>
    <w:rsid w:val="00BC21CF"/>
    <w:rsid w:val="00BC48A1"/>
    <w:rsid w:val="00BC6C30"/>
    <w:rsid w:val="00BD0103"/>
    <w:rsid w:val="00BD02BB"/>
    <w:rsid w:val="00BD6C5C"/>
    <w:rsid w:val="00BD6DD7"/>
    <w:rsid w:val="00BE2F98"/>
    <w:rsid w:val="00BE5099"/>
    <w:rsid w:val="00BF07FB"/>
    <w:rsid w:val="00BF6456"/>
    <w:rsid w:val="00C03C09"/>
    <w:rsid w:val="00C048C6"/>
    <w:rsid w:val="00C14526"/>
    <w:rsid w:val="00C16AB6"/>
    <w:rsid w:val="00C21122"/>
    <w:rsid w:val="00C2269E"/>
    <w:rsid w:val="00C33829"/>
    <w:rsid w:val="00C35FC4"/>
    <w:rsid w:val="00C40261"/>
    <w:rsid w:val="00C44207"/>
    <w:rsid w:val="00C4426F"/>
    <w:rsid w:val="00C44A13"/>
    <w:rsid w:val="00C46105"/>
    <w:rsid w:val="00C50785"/>
    <w:rsid w:val="00C5180D"/>
    <w:rsid w:val="00C54C03"/>
    <w:rsid w:val="00C559EB"/>
    <w:rsid w:val="00C56ABB"/>
    <w:rsid w:val="00C5702D"/>
    <w:rsid w:val="00C62229"/>
    <w:rsid w:val="00C62E42"/>
    <w:rsid w:val="00C64E49"/>
    <w:rsid w:val="00C70D0A"/>
    <w:rsid w:val="00C71CAA"/>
    <w:rsid w:val="00C80656"/>
    <w:rsid w:val="00C8369B"/>
    <w:rsid w:val="00C83ECA"/>
    <w:rsid w:val="00C85920"/>
    <w:rsid w:val="00C93A91"/>
    <w:rsid w:val="00C9430C"/>
    <w:rsid w:val="00C94E75"/>
    <w:rsid w:val="00CA0C2C"/>
    <w:rsid w:val="00CA0D6E"/>
    <w:rsid w:val="00CA14D4"/>
    <w:rsid w:val="00CA1D3B"/>
    <w:rsid w:val="00CB2A62"/>
    <w:rsid w:val="00CB5894"/>
    <w:rsid w:val="00CB6F0B"/>
    <w:rsid w:val="00CB7485"/>
    <w:rsid w:val="00CC2F4B"/>
    <w:rsid w:val="00CC63A2"/>
    <w:rsid w:val="00CD1D00"/>
    <w:rsid w:val="00CD5BF9"/>
    <w:rsid w:val="00CE6621"/>
    <w:rsid w:val="00D02BF0"/>
    <w:rsid w:val="00D140FF"/>
    <w:rsid w:val="00D152D6"/>
    <w:rsid w:val="00D157E8"/>
    <w:rsid w:val="00D20835"/>
    <w:rsid w:val="00D25DDD"/>
    <w:rsid w:val="00D27497"/>
    <w:rsid w:val="00D32346"/>
    <w:rsid w:val="00D3652D"/>
    <w:rsid w:val="00D3793B"/>
    <w:rsid w:val="00D4302C"/>
    <w:rsid w:val="00D55D81"/>
    <w:rsid w:val="00D57CBA"/>
    <w:rsid w:val="00D6530E"/>
    <w:rsid w:val="00D66642"/>
    <w:rsid w:val="00D74568"/>
    <w:rsid w:val="00D8338F"/>
    <w:rsid w:val="00D859FF"/>
    <w:rsid w:val="00D863C7"/>
    <w:rsid w:val="00DB145F"/>
    <w:rsid w:val="00DB2C18"/>
    <w:rsid w:val="00DC004E"/>
    <w:rsid w:val="00DD2C51"/>
    <w:rsid w:val="00DD2E87"/>
    <w:rsid w:val="00DD6546"/>
    <w:rsid w:val="00DD7380"/>
    <w:rsid w:val="00DD7CAA"/>
    <w:rsid w:val="00DE1088"/>
    <w:rsid w:val="00DE2FCA"/>
    <w:rsid w:val="00DE6AA6"/>
    <w:rsid w:val="00DE6C4F"/>
    <w:rsid w:val="00DF1A07"/>
    <w:rsid w:val="00DF1B5A"/>
    <w:rsid w:val="00DF2F54"/>
    <w:rsid w:val="00E0403F"/>
    <w:rsid w:val="00E07D6D"/>
    <w:rsid w:val="00E104D0"/>
    <w:rsid w:val="00E10893"/>
    <w:rsid w:val="00E167AD"/>
    <w:rsid w:val="00E17B78"/>
    <w:rsid w:val="00E20910"/>
    <w:rsid w:val="00E24770"/>
    <w:rsid w:val="00E27523"/>
    <w:rsid w:val="00E339AA"/>
    <w:rsid w:val="00E40BA8"/>
    <w:rsid w:val="00E416F5"/>
    <w:rsid w:val="00E4547B"/>
    <w:rsid w:val="00E5109E"/>
    <w:rsid w:val="00E573B3"/>
    <w:rsid w:val="00E63363"/>
    <w:rsid w:val="00E712CD"/>
    <w:rsid w:val="00E767BD"/>
    <w:rsid w:val="00E8684C"/>
    <w:rsid w:val="00E86BBA"/>
    <w:rsid w:val="00E87A2B"/>
    <w:rsid w:val="00E9037E"/>
    <w:rsid w:val="00E91841"/>
    <w:rsid w:val="00E9681D"/>
    <w:rsid w:val="00E96924"/>
    <w:rsid w:val="00EA46ED"/>
    <w:rsid w:val="00EA711E"/>
    <w:rsid w:val="00EA7768"/>
    <w:rsid w:val="00EB5273"/>
    <w:rsid w:val="00EC0D32"/>
    <w:rsid w:val="00EC3458"/>
    <w:rsid w:val="00EC5723"/>
    <w:rsid w:val="00ED2DF9"/>
    <w:rsid w:val="00ED32C8"/>
    <w:rsid w:val="00ED7467"/>
    <w:rsid w:val="00EE1C66"/>
    <w:rsid w:val="00EF21C4"/>
    <w:rsid w:val="00EF4AE8"/>
    <w:rsid w:val="00EF52FA"/>
    <w:rsid w:val="00EF60C6"/>
    <w:rsid w:val="00F00E7C"/>
    <w:rsid w:val="00F0737A"/>
    <w:rsid w:val="00F12DF1"/>
    <w:rsid w:val="00F13405"/>
    <w:rsid w:val="00F15C76"/>
    <w:rsid w:val="00F20771"/>
    <w:rsid w:val="00F228B4"/>
    <w:rsid w:val="00F268DD"/>
    <w:rsid w:val="00F334B8"/>
    <w:rsid w:val="00F34911"/>
    <w:rsid w:val="00F477A7"/>
    <w:rsid w:val="00F516A0"/>
    <w:rsid w:val="00F54E3A"/>
    <w:rsid w:val="00F627D2"/>
    <w:rsid w:val="00F62905"/>
    <w:rsid w:val="00F64C07"/>
    <w:rsid w:val="00F70A3A"/>
    <w:rsid w:val="00F71BAF"/>
    <w:rsid w:val="00F85518"/>
    <w:rsid w:val="00F879E9"/>
    <w:rsid w:val="00F87CA8"/>
    <w:rsid w:val="00F906CA"/>
    <w:rsid w:val="00F917A6"/>
    <w:rsid w:val="00F946CE"/>
    <w:rsid w:val="00F97D6D"/>
    <w:rsid w:val="00FA2530"/>
    <w:rsid w:val="00FA32A4"/>
    <w:rsid w:val="00FA3A2C"/>
    <w:rsid w:val="00FB3041"/>
    <w:rsid w:val="00FB71CF"/>
    <w:rsid w:val="00FC3A7F"/>
    <w:rsid w:val="00FC5C5D"/>
    <w:rsid w:val="00FD07A2"/>
    <w:rsid w:val="00FD126A"/>
    <w:rsid w:val="00FD3291"/>
    <w:rsid w:val="00FD4839"/>
    <w:rsid w:val="00FD4FCB"/>
    <w:rsid w:val="00FD531A"/>
    <w:rsid w:val="00FD6546"/>
    <w:rsid w:val="00FD780A"/>
    <w:rsid w:val="00FD788F"/>
    <w:rsid w:val="00FE2630"/>
    <w:rsid w:val="00FE3AEB"/>
    <w:rsid w:val="00FE54CC"/>
    <w:rsid w:val="00FE6139"/>
    <w:rsid w:val="00FE709A"/>
    <w:rsid w:val="00F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7F6D"/>
  <w15:chartTrackingRefBased/>
  <w15:docId w15:val="{3581552D-FC88-44FD-810C-075CFBA2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34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0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0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0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0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05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05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05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0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0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0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134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40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0D0"/>
  </w:style>
  <w:style w:type="paragraph" w:styleId="Footer">
    <w:name w:val="footer"/>
    <w:basedOn w:val="Normal"/>
    <w:link w:val="FooterChar"/>
    <w:uiPriority w:val="99"/>
    <w:unhideWhenUsed/>
    <w:rsid w:val="00364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0D0"/>
  </w:style>
  <w:style w:type="character" w:styleId="PageNumber">
    <w:name w:val="page number"/>
    <w:basedOn w:val="DefaultParagraphFont"/>
    <w:uiPriority w:val="99"/>
    <w:semiHidden/>
    <w:unhideWhenUsed/>
    <w:rsid w:val="003210DF"/>
  </w:style>
  <w:style w:type="character" w:styleId="Hyperlink">
    <w:name w:val="Hyperlink"/>
    <w:basedOn w:val="DefaultParagraphFont"/>
    <w:uiPriority w:val="99"/>
    <w:unhideWhenUsed/>
    <w:rsid w:val="00412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6F0"/>
    <w:rPr>
      <w:color w:val="605E5C"/>
      <w:shd w:val="clear" w:color="auto" w:fill="E1DFDD"/>
    </w:rPr>
  </w:style>
  <w:style w:type="paragraph" w:customStyle="1" w:styleId="md-end-block">
    <w:name w:val="md-end-block"/>
    <w:basedOn w:val="Normal"/>
    <w:rsid w:val="0026637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N"/>
      <w14:ligatures w14:val="none"/>
    </w:rPr>
  </w:style>
  <w:style w:type="character" w:customStyle="1" w:styleId="md-link">
    <w:name w:val="md-link"/>
    <w:basedOn w:val="DefaultParagraphFont"/>
    <w:rsid w:val="00266370"/>
  </w:style>
  <w:style w:type="character" w:styleId="PlaceholderText">
    <w:name w:val="Placeholder Text"/>
    <w:basedOn w:val="DefaultParagraphFont"/>
    <w:uiPriority w:val="99"/>
    <w:semiHidden/>
    <w:rsid w:val="002819FB"/>
    <w:rPr>
      <w:color w:val="808080"/>
    </w:rPr>
  </w:style>
  <w:style w:type="paragraph" w:customStyle="1" w:styleId="p1">
    <w:name w:val="p1"/>
    <w:basedOn w:val="Normal"/>
    <w:rsid w:val="00AC2A25"/>
    <w:pPr>
      <w:widowControl/>
      <w:jc w:val="left"/>
    </w:pPr>
    <w:rPr>
      <w:rFonts w:ascii="Times New Roman" w:eastAsia="Times New Roman" w:hAnsi="Times New Roman" w:cs="Times New Roman"/>
      <w:color w:val="000000"/>
      <w:kern w:val="0"/>
      <w:sz w:val="15"/>
      <w:szCs w:val="15"/>
      <w:lang w:val="en-CN"/>
      <w14:ligatures w14:val="none"/>
    </w:rPr>
  </w:style>
  <w:style w:type="character" w:customStyle="1" w:styleId="apple-converted-space">
    <w:name w:val="apple-converted-space"/>
    <w:basedOn w:val="DefaultParagraphFont"/>
    <w:rsid w:val="00AC2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Seungjoon Oh</dc:creator>
  <cp:keywords/>
  <dc:description/>
  <cp:lastModifiedBy>凯 任</cp:lastModifiedBy>
  <cp:revision>695</cp:revision>
  <dcterms:created xsi:type="dcterms:W3CDTF">2025-04-29T08:10:00Z</dcterms:created>
  <dcterms:modified xsi:type="dcterms:W3CDTF">2025-06-14T03:45:00Z</dcterms:modified>
</cp:coreProperties>
</file>