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2C5282"/>
          <w:sz w:val="48"/>
          <w:szCs w:val="48"/>
        </w:rPr>
        <w:t xml:space="preserve">DATA OBSERVABILITY PLATFORM</w:t>
      </w:r>
    </w:p>
    <w:p>
      <w:pPr>
        <w:spacing w:after="200"/>
        <w:jc w:val="center"/>
      </w:pPr>
      <w:r>
        <w:rPr>
          <w:rFonts w:ascii="Arial" w:cs="Arial" w:eastAsia="Arial" w:hAnsi="Arial"/>
          <w:b/>
          <w:bCs/>
          <w:sz w:val="36"/>
          <w:szCs w:val="36"/>
        </w:rPr>
        <w:t xml:space="preserve">High-Level Technical Architecture</w:t>
      </w:r>
    </w:p>
    <w:p>
      <w:pPr>
        <w:spacing w:after="400"/>
        <w:jc w:val="center"/>
      </w:pPr>
      <w:r>
        <w:rPr>
          <w:rFonts w:ascii="Arial" w:cs="Arial" w:eastAsia="Arial" w:hAnsi="Arial"/>
          <w:color w:val="718096"/>
          <w:sz w:val="28"/>
          <w:szCs w:val="28"/>
        </w:rPr>
        <w:t xml:space="preserve">Signal Factory Implementation Blueprint</w:t>
      </w:r>
    </w:p>
    <w:p>
      <w:pPr>
        <w:spacing w:before="600" w:after="100"/>
        <w:jc w:val="center"/>
      </w:pPr>
      <w:r>
        <w:rPr>
          <w:rFonts w:ascii="Arial" w:cs="Arial" w:eastAsia="Arial" w:hAnsi="Arial"/>
          <w:color w:val="718096"/>
          <w:sz w:val="22"/>
          <w:szCs w:val="22"/>
        </w:rPr>
        <w:t xml:space="preserve">Version 1.0  |  January 2026</w:t>
      </w:r>
    </w:p>
    <w:p>
      <w:pPr>
        <w:jc w:val="center"/>
      </w:pPr>
      <w:r>
        <w:rPr>
          <w:rFonts w:ascii="Arial" w:cs="Arial" w:eastAsia="Arial" w:hAnsi="Arial"/>
          <w:color w:val="718096"/>
          <w:sz w:val="22"/>
          <w:szCs w:val="22"/>
        </w:rPr>
        <w:t xml:space="preserve">Enterprise Data Platform Architecture</w:t>
      </w:r>
    </w:p>
    <w:p>
      <w:r>
        <w:br w:type="page"/>
      </w:r>
    </w:p>
    <w:p>
      <w:pPr>
        <w:pStyle w:val="Heading1"/>
        <w:spacing w:before="400" w:after="200"/>
      </w:pPr>
      <w:r>
        <w:rPr>
          <w:rFonts w:ascii="Arial" w:cs="Arial" w:eastAsia="Arial" w:hAnsi="Arial"/>
          <w:b/>
          <w:bCs/>
          <w:sz w:val="32"/>
          <w:szCs w:val="32"/>
        </w:rPr>
        <w:t xml:space="preserve">1. Executive Summary</w:t>
      </w:r>
    </w:p>
    <w:p>
      <w:pPr>
        <w:spacing w:after="200"/>
      </w:pPr>
      <w:r>
        <w:rPr>
          <w:rFonts w:ascii="Arial" w:cs="Arial" w:eastAsia="Arial" w:hAnsi="Arial"/>
          <w:sz w:val="24"/>
          <w:szCs w:val="24"/>
        </w:rPr>
        <w:t xml:space="preserve">This document presents the high-level technical architecture for the Data Observability Platform, implementing the Signal Factory paradigm. The architecture addresses a fundamental challenge in modern enterprise data systems: the exponential growth of distributed data flows across microservices, streaming platforms, and data lakes has outpaced traditional monitoring approaches, creating an observation gap that leads to extended incident resolution times, eroded data trust, and escalating operational costs.</w:t>
      </w:r>
    </w:p>
    <w:p>
      <w:pPr>
        <w:pStyle w:val="Heading2"/>
        <w:spacing w:before="300" w:after="150"/>
      </w:pPr>
      <w:r>
        <w:rPr>
          <w:rFonts w:ascii="Arial" w:cs="Arial" w:eastAsia="Arial" w:hAnsi="Arial"/>
          <w:b/>
          <w:bCs/>
          <w:sz w:val="28"/>
          <w:szCs w:val="28"/>
        </w:rPr>
        <w:t xml:space="preserve">1.1 Strategic Context</w:t>
      </w:r>
    </w:p>
    <w:p>
      <w:pPr>
        <w:spacing w:after="150"/>
      </w:pPr>
      <w:r>
        <w:rPr>
          <w:rFonts w:ascii="Arial" w:cs="Arial" w:eastAsia="Arial" w:hAnsi="Arial"/>
          <w:sz w:val="24"/>
          <w:szCs w:val="24"/>
        </w:rPr>
        <w:t xml:space="preserve">The Signal Factory treats telemetry as a manufactured product rather than an exhaust byproduct of running systems. This paradigm shift enables industrialized observability signal production with rigorous quality controls, standardization, and process engineering. The architecture is designed around a North Star goal: achieving fastest Mean Time to Resolution (MTTR) via an AI-powered RCA Copilot while enabling progressive prevention through contracts and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Current State</w:t>
            </w:r>
          </w:p>
        </w:tc>
        <w:tc>
          <w:tcPr>
            <w:tcW w:type="dxa" w:w="312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Target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Query Latency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30-60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 minutes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 Time to Detection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4-6 hours (Tier-1)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15 minutes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 Time to Resolution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12+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False Positive Alert Rate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60-80%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Lineage Coverage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0% element-level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Tier-1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Developer Toil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20% sprint velocity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5%</w:t>
            </w:r>
          </w:p>
        </w:tc>
      </w:tr>
    </w:tbl>
    <w:p>
      <w:pPr>
        <w:pStyle w:val="Heading2"/>
        <w:spacing w:before="300" w:after="150"/>
      </w:pPr>
      <w:r>
        <w:rPr>
          <w:rFonts w:ascii="Arial" w:cs="Arial" w:eastAsia="Arial" w:hAnsi="Arial"/>
          <w:b/>
          <w:bCs/>
          <w:sz w:val="28"/>
          <w:szCs w:val="28"/>
        </w:rPr>
        <w:t xml:space="preserve">1.2 Systems Thinking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702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Inflows</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Raw telemetry from microservices, Kafka streams, Airflow DAGs, Spark jobs, Delta Lake commits, external API calls, schema registry events, and CI/CD pipeline events.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Outflows</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Normalized signals, correlation graphs, lineage maps, incident alerts, RCA explanations, automated PRs, gate enforcement decisions, and governance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of Action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16-week implementation, ~$15K/month AWS infrastructure, 6 engineers initial + 2 FTE ongoing, cross-team coordination overhead.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of Inaction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Continued 12+ hour MTTR, 20% developer toil, data trust erosion, repeated incidents without learning, engineer burnout, revenue impact from data downtime.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Hidden Assumptions</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Single trace_id propagation is insufficient; schema heterogeneity requires canonical registry; asset-level lineage inadequate for precision RCA; adoption requires pull dynamics before push enforcement.</w:t>
            </w:r>
          </w:p>
        </w:tc>
      </w:tr>
    </w:tbl>
    <w:p>
      <w:r>
        <w:br w:type="page"/>
      </w:r>
    </w:p>
    <w:p>
      <w:pPr>
        <w:pStyle w:val="Heading1"/>
        <w:spacing w:before="400" w:after="200"/>
      </w:pPr>
      <w:r>
        <w:rPr>
          <w:rFonts w:ascii="Arial" w:cs="Arial" w:eastAsia="Arial" w:hAnsi="Arial"/>
          <w:b/>
          <w:bCs/>
          <w:sz w:val="32"/>
          <w:szCs w:val="32"/>
        </w:rPr>
        <w:t xml:space="preserve">2. Architectural Overview</w:t>
      </w:r>
    </w:p>
    <w:p>
      <w:pPr>
        <w:pStyle w:val="Heading2"/>
        <w:spacing w:before="300" w:after="150"/>
      </w:pPr>
      <w:r>
        <w:rPr>
          <w:rFonts w:ascii="Arial" w:cs="Arial" w:eastAsia="Arial" w:hAnsi="Arial"/>
          <w:b/>
          <w:bCs/>
          <w:sz w:val="28"/>
          <w:szCs w:val="28"/>
        </w:rPr>
        <w:t xml:space="preserve">2.1 Five-Plane Architecture Model</w:t>
      </w:r>
    </w:p>
    <w:p>
      <w:pPr>
        <w:spacing w:after="200"/>
      </w:pPr>
      <w:r>
        <w:rPr>
          <w:rFonts w:ascii="Arial" w:cs="Arial" w:eastAsia="Arial" w:hAnsi="Arial"/>
          <w:sz w:val="24"/>
          <w:szCs w:val="24"/>
        </w:rPr>
        <w:t xml:space="preserve">The Signal Factory architecture is composed of five distinct planes, each responsible for a specific stage in the signal lifecycle. This separation of concerns enables independent scaling, clear operational boundaries, and focused optimization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3276"/>
        <w:gridCol w:w="4399"/>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Plane</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439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Key Components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 Plane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Generates raw telemetry and data events from application layer</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Microservices, Central Ingestion Gateway, Kafka/MSK, Spark/Dask, Delta Lake, Airflow</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Ingestion Plane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Collects, buffers, normalizes, and routes signals</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OTel Collectors (ECS/EKS), Signal Router, Event Bus (Kinesis), Schema Normalizer</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Processing Plane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Transforms raw signals into state and insights</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Engines (Freshness, Volume, Drift, Contract, DQ, Anomaly, Cost)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Knowledge Plane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Stores topology, state, lineage, and relationships</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 Neptune (Graph), DynamoDB (State/Cache), S3 (Archive), OpenSearch (Text)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Consumption Plane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Interfaces for humans and AI agents</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Copilot API, Governance Registry, Alerting, Instrumentation Autopilot</w:t>
            </w:r>
          </w:p>
        </w:tc>
      </w:tr>
    </w:tbl>
    <w:p>
      <w:pPr>
        <w:pStyle w:val="Heading2"/>
        <w:spacing w:before="400" w:after="150"/>
      </w:pPr>
      <w:r>
        <w:rPr>
          <w:rFonts w:ascii="Arial" w:cs="Arial" w:eastAsia="Arial" w:hAnsi="Arial"/>
          <w:b/>
          <w:bCs/>
          <w:sz w:val="28"/>
          <w:szCs w:val="28"/>
        </w:rPr>
        <w:t xml:space="preserve">2.2 Component Architecture Diagram</w:t>
      </w:r>
    </w:p>
    <w:p>
      <w:pPr>
        <w:spacing w:before="200" w:after="200"/>
      </w:pPr>
      <w:r>
        <w:rPr>
          <w:rFonts w:ascii="Courier New" w:cs="Courier New" w:eastAsia="Courier New" w:hAnsi="Courier New"/>
          <w:sz w:val="14"/>
          <w:szCs w:val="14"/>
        </w:rPr>
        <w:t xml:space="preserve">
┌─────────────────────────────────────────────────────────────────────────────────────────┐
│                            CONSUMPTION PLANE                                             │
│  ┌──────────────────┐  ┌──────────────────┐  ┌──────────────────┐  ┌─────────────────┐  │
│  │   RCA Copilot    │  │   Governance     │  │    Alerting      │  │  Instrumentation │  │
│  │   (Bedrock/LLM)  │  │   Registry       │  │    Engine        │  │    Autopilot    │  │
│  └────────┬─────────┘  └────────┬─────────┘  └────────┬─────────┘  └────────┬────────┘  │
└───────────┼──────────────────────┼──────────────────────┼──────────────────────┼─────────┘
            │                      │                      │                      │
┌───────────┼──────────────────────┼──────────────────────┼──────────────────────┼─────────┐
│           ▼                      ▼                      ▼                      ▼          │
│                              KNOWLEDGE PLANE                                              │
│  ┌──────────────────────────────────────────────────────────────────────────────────┐   │
│  │                        Amazon Neptune (Knowledge Graph)                           │   │
│  │   Assets ◄──► Relationships ◄──► Column Lineage ◄──► Schema Versions             │   │
│  │   Incidents ◄──► Evidence ◄──► Runs ◄──► Commits ◄──► Services                   │   │
│  └──────────────────────────────────────────────────────────────────────────────────┘   │
│  ┌─────────────────────┐  ┌─────────────────────┐  ┌─────────────────────────────────┐   │
│  │  DynamoDB (State)   │  │  S3 (Archive)       │  │  OpenSearch (Text Search)       │   │
│  └─────────────────────┘  └─────────────────────┘  └─────────────────────────────────┘   │
└───────────────────────────────────────────────────────────────────────────────────────────┘
                                          ▲
┌─────────────────────────────────────────┼─────────────────────────────────────────────────┐
│                              PROCESSING PLANE                                             │
│  ┌──────────┐ ┌──────────┐ ┌──────────┐ ┌──────────┐ ┌──────────┐ ┌──────────┐ ┌───────┐ │
│  │Freshness │ │ Volume   │ │  Drift   │ │Contract  │ │   DQ     │ │ Anomaly  │ │ Cost  │ │
│  │ Engine   │ │ Engine   │ │ Engine   │ │ Engine   │ │ Engine   │ │ Engine   │ │Engine │ │
│  └────┬─────┘ └────┬─────┘ └────┬─────┘ └────┬─────┘ └────┬─────┘ └────┬─────┘ └───┬───┘ │
│       └────────────┴────────────┴────────────┴────────────┴────────────┴────────────┘     │
│                                          │                                                │
│                              ┌───────────┴───────────┐                                   │
│                              │     Signal Router     │                                   │
│                              │ (Normalization/URN)   │                                   │
│                              └───────────────────────┘                                   │
└───────────────────────────────────────────────────────────────────────────────────────────┘
                                          ▲
┌─────────────────────────────────────────┼─────────────────────────────────────────────────┐
│                              INGESTION PLANE                                              │
│  ┌───────────────────────────────────────────────────────────────────────────────────┐   │
│  │                     OTel Collectors (ECS/Fargate or EKS DaemonSet)                 │   │
│  └───────────────────────────────────────────────────────────────────────────────────┘   │
│  ┌───────────────────────────────────────────────────────────────────────────────────┐   │
│  │          Event Bus (Amazon Kinesis Data Streams / MSK)                            │   │
│  │    Topics: signals.raw | signals.processed | incidents | lineage.events           │   │
│  └───────────────────────────────────────────────────────────────────────────────────┘   │
└───────────────────────────────────────────────────────────────────────────────────────────┘
                                          ▲
┌─────────────────────────────────────────┼─────────────────────────────────────────────────┐
│                              PRODUCTION PLANE                                             │
│  ┌────────────────┐  ┌────────────────────────────────────────────────┐  ┌────────────┐  │
│  │ Microservices  │  │      Central Managed Ingestion Gateway         │  │  Airflow   │  │
│  │ (OTel SDK)     ├──► (Schema Validation + Correlation Injection)  ◄──┤   DAGs     │  │
│  └────────────────┘  └─────────────────────┬──────────────────────────┘  └────────────┘  │
│                                            │                                              │
│  ┌────────────────┐  ┌────────────────────▼───────────────────────────┐  ┌────────────┐  │
│  │  Spark/Dask    │  │              Kafka / MSK                       │  │ External   │  │
│  │  (OpenLineage) ├──►   (Headers: x-obs-trace-id, x-obs-schema-id)  │  │   APIs     │  │
│  └────────────────┘  └───────────────────────────────────────────────┘  └────────────┘  │
│                                            │                                              │
│  ┌─────────────────────────────────────────▼────────────────────────────────────────┐    │
│  │                    Delta Lake (Bronze/Silver/Gold Layers)                         │    │
│  │              Unity Catalog (Governance) | _delta_log (Lineage)                    │    │
│  └───────────────────────────────────────────────────────────────────────────────────┘    │
└───────────────────────────────────────────────────────────────────────────────────────────┘</w:t>
      </w:r>
    </w:p>
    <w:p>
      <w:pPr>
        <w:pStyle w:val="Heading2"/>
        <w:spacing w:before="400" w:after="150"/>
      </w:pPr>
      <w:r>
        <w:rPr>
          <w:rFonts w:ascii="Arial" w:cs="Arial" w:eastAsia="Arial" w:hAnsi="Arial"/>
          <w:b/>
          <w:bCs/>
          <w:sz w:val="28"/>
          <w:szCs w:val="28"/>
        </w:rPr>
        <w:t xml:space="preserve">2.3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c>
          <w:tcPr>
            <w:tcW w:type="dxa" w:w="205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73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Event-Driven</w:t>
            </w:r>
          </w:p>
        </w:tc>
        <w:tc>
          <w:tcPr>
            <w:tcW w:type="dxa" w:w="7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All agents communicate via CloudEvents on Kafka/Kinesis. Enables loose coupling, independent scaling, and replay capability.</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Stateless Agents</w:t>
            </w:r>
          </w:p>
        </w:tc>
        <w:tc>
          <w:tcPr>
            <w:tcW w:type="dxa" w:w="7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Agents maintain no internal state; all state persisted to DynamoDB/Neptune. Enables horizontal scaling and fault tolerance.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Human-in-the-Loop</w:t>
            </w:r>
          </w:p>
        </w:tc>
        <w:tc>
          <w:tcPr>
            <w:tcW w:type="dxa" w:w="7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All code changes require human review via PR. AI assists but does not replace engineers.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Progressive Enforcement</w:t>
            </w:r>
          </w:p>
        </w:tc>
        <w:tc>
          <w:tcPr>
            <w:tcW w:type="dxa" w:w="7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Three-gate strategy: Warn → Soft-Fail → Hard-Fail. Allows gradual adoption without disruption.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Evidence-First AI</w:t>
            </w:r>
          </w:p>
        </w:tc>
        <w:tc>
          <w:tcPr>
            <w:tcW w:type="dxa" w:w="7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RCA Copilot only synthesizes facts from Knowledge Graph; never speculates. Every claim cites Evidence IDs.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Pull Before Push</w:t>
            </w:r>
          </w:p>
        </w:tc>
        <w:tc>
          <w:tcPr>
            <w:tcW w:type="dxa" w:w="7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Demonstrate value via RCA Copilot first, creating adoption pull. Enforcement gates activated only after value proven.</w:t>
            </w:r>
          </w:p>
        </w:tc>
      </w:tr>
    </w:tbl>
    <w:p>
      <w:r>
        <w:br w:type="page"/>
      </w:r>
    </w:p>
    <w:p>
      <w:pPr>
        <w:pStyle w:val="Heading1"/>
        <w:spacing w:before="400" w:after="200"/>
      </w:pPr>
      <w:r>
        <w:rPr>
          <w:rFonts w:ascii="Arial" w:cs="Arial" w:eastAsia="Arial" w:hAnsi="Arial"/>
          <w:b/>
          <w:bCs/>
          <w:sz w:val="32"/>
          <w:szCs w:val="32"/>
        </w:rPr>
        <w:t xml:space="preserve">3. Core Components</w:t>
      </w:r>
    </w:p>
    <w:p>
      <w:pPr>
        <w:pStyle w:val="Heading2"/>
        <w:spacing w:before="300" w:after="150"/>
      </w:pPr>
      <w:r>
        <w:rPr>
          <w:rFonts w:ascii="Arial" w:cs="Arial" w:eastAsia="Arial" w:hAnsi="Arial"/>
          <w:b/>
          <w:bCs/>
          <w:sz w:val="28"/>
          <w:szCs w:val="28"/>
        </w:rPr>
        <w:t xml:space="preserve">3.1 Central Managed Ingestion Gateway</w:t>
      </w:r>
    </w:p>
    <w:p>
      <w:pPr>
        <w:spacing w:after="200"/>
      </w:pPr>
      <w:r>
        <w:rPr>
          <w:rFonts w:ascii="Arial" w:cs="Arial" w:eastAsia="Arial" w:hAnsi="Arial"/>
          <w:sz w:val="24"/>
          <w:szCs w:val="24"/>
        </w:rPr>
        <w:t xml:space="preserve">The pivot to a Central Managed Streaming Ingestion Gateway is the architectural linchpin that enables high-fidelity observability. It serves as the single entry point for all data ingestion, acting as a control plane that enforces contracts, injects correlation identifiers, and validates schemas before data enters the downstream ecosystem.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702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 Validation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Validates all incoming payloads against registered schemas in Schema Registry (Avro/Protobuf/JSON Schema). Rejects non-conforming data with detailed error codes.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Correlation Injection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Generates and injects x-obs-trace-id, x-obs-schema-id, x-obs-producer-id headers into all messages for end-to-end tracing.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 Enforcement</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Enforces Data Contracts defining SLAs for freshness, volume, and schema compatibility. Soft-fail or hard-fail based on gate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PII Redaction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Applies field-level redaction rules to prevent sensitive data from entering observability pipelines.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 Emission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Emits IngestionDecisionEvent for every request (ACCEPTED/REJECTED) with schema context and latency metrics.</w:t>
            </w:r>
          </w:p>
        </w:tc>
      </w:tr>
    </w:tbl>
    <w:p>
      <w:pPr>
        <w:pStyle w:val="Heading2"/>
        <w:spacing w:before="400" w:after="150"/>
      </w:pPr>
      <w:r>
        <w:rPr>
          <w:rFonts w:ascii="Arial" w:cs="Arial" w:eastAsia="Arial" w:hAnsi="Arial"/>
          <w:b/>
          <w:bCs/>
          <w:sz w:val="28"/>
          <w:szCs w:val="28"/>
        </w:rPr>
        <w:t xml:space="preserve">3.2 Instrumentation Autopilot (Six-Agent System)</w:t>
      </w:r>
    </w:p>
    <w:p>
      <w:pPr>
        <w:spacing w:after="200"/>
      </w:pPr>
      <w:r>
        <w:rPr>
          <w:rFonts w:ascii="Arial" w:cs="Arial" w:eastAsia="Arial" w:hAnsi="Arial"/>
          <w:sz w:val="24"/>
          <w:szCs w:val="24"/>
        </w:rPr>
        <w:t xml:space="preserve">The Instrumentation Autopilot is a suite of AI-powered agents that automate observability instrumentation injection across repositories. These agents convert manual developer toil into managed, consistent code changes through an event-driven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2340"/>
        <w:gridCol w:w="2340"/>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2995"/>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Primary Function</w:t>
            </w:r>
          </w:p>
        </w:tc>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Scout Agent</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Detects tech stack, identifies instrumentation gaps, generates diff plans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Repository URL/Path</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Observability Diff Plan (JSON)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 Author Agent</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Generates instrumentation code, tests, configs, and creates PRs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 Plan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Pull Request with code + tests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 Gatekeeper</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Enforces observability baselines in CI pipelines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 Event</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Gate Status (PASS/WARN/FAIL)</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Telemetry Validator</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Validates signals arrive in non-prod environment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Deployed Service + Commit</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Validation Report + Evidence</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Factory Core</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Processes signals, detects anomalies, maintains graph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Raw Telemetry Events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SignalState + Evidence + Edges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Copilot</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AI-powered incident explanation and root cause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Incident Alert</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Explanation + Actions</w:t>
            </w:r>
          </w:p>
        </w:tc>
      </w:tr>
    </w:tbl>
    <w:p>
      <w:pPr>
        <w:pStyle w:val="Heading2"/>
        <w:spacing w:before="400" w:after="150"/>
      </w:pPr>
      <w:r>
        <w:rPr>
          <w:rFonts w:ascii="Arial" w:cs="Arial" w:eastAsia="Arial" w:hAnsi="Arial"/>
          <w:b/>
          <w:bCs/>
          <w:sz w:val="28"/>
          <w:szCs w:val="28"/>
        </w:rPr>
        <w:t xml:space="preserve">3.3 Signal Factory Core</w:t>
      </w:r>
    </w:p>
    <w:p>
      <w:pPr>
        <w:spacing w:after="200"/>
      </w:pPr>
      <w:r>
        <w:rPr>
          <w:rFonts w:ascii="Arial" w:cs="Arial" w:eastAsia="Arial" w:hAnsi="Arial"/>
          <w:sz w:val="24"/>
          <w:szCs w:val="24"/>
        </w:rPr>
        <w:t xml:space="preserve">The Signal Factory Core is the central processing hub that transforms raw telemetry into actionable intelligence. It consists of seven specialized Signal Engines, each responsible for detecting a specific category of data health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3744"/>
        <w:gridCol w:w="3931"/>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Engine</w:t>
            </w:r>
          </w:p>
        </w:tc>
        <w:tc>
          <w:tcPr>
            <w:tcW w:type="dxa" w:w="374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Detection Logic</w:t>
            </w:r>
          </w:p>
        </w:tc>
        <w:tc>
          <w:tcPr>
            <w:tcW w:type="dxa" w:w="3931"/>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Freshness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Monitors time since last successful write to assets. Compares against SLA thresholds.</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STALE/HEALTHY status with delay duration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Volume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Tracks row counts and byte volumes per partition/commit. Detects statistical anomalies.</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ANOMALY/NORMAL with deviation metrics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 Drift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Compares incoming schemas against baseline. Detects additions, removals, type changes.</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DRIFT/STABLE with field-level diffs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Validates data against registered contracts (SLAs, constraints).</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VIOLATION/COMPLIANT with evidence</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DQ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Processes Deequ/Great Expectations results. Aggregates quality metrics.</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FAILED/PASSED with rule violations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Anomaly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ML-based detection of unusual patterns across multiple dimensions.</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ANOMALY/NORMAL with confidence scores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Engine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Tracks compute/storage costs per asset from CUR data.</w:t>
            </w:r>
          </w:p>
        </w:tc>
        <w:tc>
          <w:tcPr>
            <w:tcW w:type="dxa" w:w="39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OVERSPEND/NORMAL with attribution</w:t>
            </w:r>
          </w:p>
        </w:tc>
      </w:tr>
    </w:tbl>
    <w:p>
      <w:pPr>
        <w:pStyle w:val="Heading2"/>
        <w:spacing w:before="400" w:after="150"/>
      </w:pPr>
      <w:r>
        <w:rPr>
          <w:rFonts w:ascii="Arial" w:cs="Arial" w:eastAsia="Arial" w:hAnsi="Arial"/>
          <w:b/>
          <w:bCs/>
          <w:sz w:val="28"/>
          <w:szCs w:val="28"/>
        </w:rPr>
        <w:t xml:space="preserve">3.4 RCA Copilot</w:t>
      </w:r>
    </w:p>
    <w:p>
      <w:pPr>
        <w:spacing w:after="200"/>
      </w:pPr>
      <w:r>
        <w:rPr>
          <w:rFonts w:ascii="Arial" w:cs="Arial" w:eastAsia="Arial" w:hAnsi="Arial"/>
          <w:sz w:val="24"/>
          <w:szCs w:val="24"/>
        </w:rPr>
        <w:t xml:space="preserve">The RCA Copilot is the user-facing intelligence of the platform. Unlike generic LLM chatbots, it operates on a strict Evidence-First architecture: it never speculates but only synthesizes facts present in the Knowledge Graph. Every claim must cite specific Evidence IDs, ensuring trustworthy and actionable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6"/>
      </w:tblGrid>
      <w:tr>
        <w:tc>
          <w:tcPr>
            <w:tcW w:type="dxa" w:w="205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74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355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Performance Target</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 Builder</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Retrieves precomputed incident summaries from DynamoDB cache</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10ms cache latency</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Graph Expander</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Traverses Neptune graph to expand blast radius and upstream lineage</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500ms for 3-hop traversal</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Evidence Ranker</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Ranks evidence by temporal proximity, asset tier, and causal likelihood</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100ms ranking</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LLM Interface</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Generates natural language explanation constrained to evidence</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2000ms (Claude/Bedrock)</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Action Recommender</w:t>
            </w:r>
          </w:p>
        </w:tc>
        <w:tc>
          <w:tcPr>
            <w:tcW w:type="dxa" w:w="374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Suggests remediation actions based on incident pattern matching</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200ms lookup</w:t>
            </w:r>
          </w:p>
        </w:tc>
      </w:tr>
    </w:tbl>
    <w:p>
      <w:r>
        <w:br w:type="page"/>
      </w:r>
    </w:p>
    <w:p>
      <w:pPr>
        <w:pStyle w:val="Heading1"/>
        <w:spacing w:before="400" w:after="200"/>
      </w:pPr>
      <w:r>
        <w:rPr>
          <w:rFonts w:ascii="Arial" w:cs="Arial" w:eastAsia="Arial" w:hAnsi="Arial"/>
          <w:b/>
          <w:bCs/>
          <w:sz w:val="32"/>
          <w:szCs w:val="32"/>
        </w:rPr>
        <w:t xml:space="preserve">4. Data Model and Lineage Architecture</w:t>
      </w:r>
    </w:p>
    <w:p>
      <w:pPr>
        <w:pStyle w:val="Heading2"/>
        <w:spacing w:before="300" w:after="150"/>
      </w:pPr>
      <w:r>
        <w:rPr>
          <w:rFonts w:ascii="Arial" w:cs="Arial" w:eastAsia="Arial" w:hAnsi="Arial"/>
          <w:b/>
          <w:bCs/>
          <w:sz w:val="28"/>
          <w:szCs w:val="28"/>
        </w:rPr>
        <w:t xml:space="preserve">4.1 Neptune Graph Data Model</w:t>
      </w:r>
    </w:p>
    <w:p>
      <w:pPr>
        <w:spacing w:after="200"/>
      </w:pPr>
      <w:r>
        <w:rPr>
          <w:rFonts w:ascii="Arial" w:cs="Arial" w:eastAsia="Arial" w:hAnsi="Arial"/>
          <w:sz w:val="24"/>
          <w:szCs w:val="24"/>
        </w:rPr>
        <w:t xml:space="preserve">The Knowledge Graph in Amazon Neptune serves as the system-of-record for all asset relationships, lineage mappings, and incident evidence. The data model supports both asset-level and element-level (field/column) lineage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3276"/>
        <w:gridCol w:w="4399"/>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Node Type</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439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Key Properties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Microservice or application</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 env, domain, tier, owner_team</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Endpoint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Gateway ingestion resource</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 endpoint_id, env, auth_mode, tier</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KafkaTopic</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MSK/Kafka topic</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 cluster, topic, env, tier</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DeltaTable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Data Lake table</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 layer (bronze/silver/gold), s3_path, owner</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Schema field (element-level)</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 name, data_type, parent_asset_urn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SchemaVersion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Immutable schema definition</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schema_id, version, fingerprint, fields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Job/DAG execution</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run_id, status, start_time, end_time, lineage_facets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Incident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Detected issue</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incident_id, type, severity, status, created_at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Evidence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Supporting data for incident</w:t>
            </w:r>
          </w:p>
        </w:tc>
        <w:tc>
          <w:tcPr>
            <w:tcW w:type="dxa" w:w="439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evidence_id, kind, source, timestamp, payload</w:t>
            </w:r>
          </w:p>
        </w:tc>
      </w:tr>
    </w:tbl>
    <w:p>
      <w:pPr>
        <w:pStyle w:val="Heading2"/>
        <w:spacing w:before="400" w:after="150"/>
      </w:pPr>
      <w:r>
        <w:rPr>
          <w:rFonts w:ascii="Arial" w:cs="Arial" w:eastAsia="Arial" w:hAnsi="Arial"/>
          <w:b/>
          <w:bCs/>
          <w:sz w:val="28"/>
          <w:szCs w:val="28"/>
        </w:rPr>
        <w:t xml:space="preserve">4.2 Element-Level Lineage Model</w:t>
      </w:r>
    </w:p>
    <w:p>
      <w:pPr>
        <w:spacing w:after="200"/>
      </w:pPr>
      <w:r>
        <w:rPr>
          <w:rFonts w:ascii="Arial" w:cs="Arial" w:eastAsia="Arial" w:hAnsi="Arial"/>
          <w:sz w:val="24"/>
          <w:szCs w:val="24"/>
        </w:rPr>
        <w:t xml:space="preserve">While asset-level lineage identifies that 'Service A produces to Topic B,' element-level lineage tracks specific fields: 'Service A.customer_id maps to Topic B.cust_id with transformation RENAME.' This granularity is essential for precision RCA, enabling answers like 'revenue is NULL because currency field was marked optional in schema v42.'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276"/>
        <w:gridCol w:w="4212"/>
      </w:tblGrid>
      <w:tr>
        <w:tc>
          <w:tcPr>
            <w:tcW w:type="dxa" w:w="1872"/>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Relationship Type</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4212"/>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DIRECT_COPY</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Field copied without transformation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customer_id → customer_id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RENAME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Field renamed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cust_id → customer_id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Type conversion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 integer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EXPRESSION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Computed from multiple fields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amount * quantity → revenue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AGGREGATE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Aggregation function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SUM(amount) → total_amount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CONDITIONAL</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Conditional logic</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CASE WHEN currency IS NULL THEN 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JOIN_LOOKUP</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Value from joined table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customer.name via customer_id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No upstream source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CURRENT_TIMESTAMP → created_at</w:t>
            </w:r>
          </w:p>
        </w:tc>
      </w:tr>
    </w:tbl>
    <w:p>
      <w:pPr>
        <w:pStyle w:val="Heading2"/>
        <w:spacing w:before="400" w:after="150"/>
      </w:pPr>
      <w:r>
        <w:rPr>
          <w:rFonts w:ascii="Arial" w:cs="Arial" w:eastAsia="Arial" w:hAnsi="Arial"/>
          <w:b/>
          <w:bCs/>
          <w:sz w:val="28"/>
          <w:szCs w:val="28"/>
        </w:rPr>
        <w:t xml:space="preserve">4.3 Hybrid Correlation Model</w:t>
      </w:r>
    </w:p>
    <w:p>
      <w:pPr>
        <w:spacing w:after="200"/>
      </w:pPr>
      <w:r>
        <w:rPr>
          <w:rFonts w:ascii="Arial" w:cs="Arial" w:eastAsia="Arial" w:hAnsi="Arial"/>
          <w:sz w:val="24"/>
          <w:szCs w:val="24"/>
        </w:rPr>
        <w:t xml:space="preserve">Standard distributed tracing breaks at asynchronous boundaries (Kafka batching, Airflow scheduling, Delta state). The Hybrid Correlation Model layers three distinct strategies to maintain end-to-end correlation across these breaks.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2059"/>
        <w:gridCol w:w="2808"/>
        <w:gridCol w:w="2808"/>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05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Layer 1: Runtime</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Synchronous services (HTTP/gRPC)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W3C Trace Context + x-correlation-id</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Standard OTel instrumentation with header propagation middleware</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Layer 2: Batch Handoff</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Async handoffs (Airflow → Spark)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Explicit parameter passing</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Airflow tasks inject dag_run_id into Spark config; Spark emits as RunFacet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Layer 3: Lineage-Based</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State boundaries (Delta/S3)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Time-window + asset versioning</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RCA engine queries _delta_log to match write timestamps with read windows</w:t>
            </w:r>
          </w:p>
        </w:tc>
      </w:tr>
    </w:tbl>
    <w:p>
      <w:r>
        <w:br w:type="page"/>
      </w:r>
    </w:p>
    <w:p>
      <w:pPr>
        <w:pStyle w:val="Heading1"/>
        <w:spacing w:before="400" w:after="200"/>
      </w:pPr>
      <w:r>
        <w:rPr>
          <w:rFonts w:ascii="Arial" w:cs="Arial" w:eastAsia="Arial" w:hAnsi="Arial"/>
          <w:b/>
          <w:bCs/>
          <w:sz w:val="32"/>
          <w:szCs w:val="32"/>
        </w:rPr>
        <w:t xml:space="preserve">5. Implementation Roadmap</w:t>
      </w:r>
    </w:p>
    <w:p>
      <w:pPr>
        <w:pStyle w:val="Heading2"/>
        <w:spacing w:before="300" w:after="150"/>
      </w:pPr>
      <w:r>
        <w:rPr>
          <w:rFonts w:ascii="Arial" w:cs="Arial" w:eastAsia="Arial" w:hAnsi="Arial"/>
          <w:b/>
          <w:bCs/>
          <w:sz w:val="28"/>
          <w:szCs w:val="28"/>
        </w:rPr>
        <w:t xml:space="preserve">5.1 Phased Implementation (16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23"/>
        <w:gridCol w:w="1404"/>
        <w:gridCol w:w="3744"/>
        <w:gridCol w:w="3088"/>
      </w:tblGrid>
      <w:tr>
        <w:tc>
          <w:tcPr>
            <w:tcW w:type="dxa" w:w="1123"/>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40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74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308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Exit Criteria</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0: Foundation</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Weeks 1-4</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platform + Neptune graph + Single steel thread pipeline (Orders) + Unified schema model + Field URN convention</w:t>
            </w:r>
          </w:p>
        </w:tc>
        <w:tc>
          <w:tcPr>
            <w:tcW w:type="dxa" w:w="308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End-to-end trace from Service to Delta Table visible in Graph</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 Kafka Integration</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Weeks 5-8</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 Registry integration + Kafka producer/consumer instrumentation + Static analysis for serializers + Kafka→Spark→Delta lineage connected</w:t>
            </w:r>
          </w:p>
        </w:tc>
        <w:tc>
          <w:tcPr>
            <w:tcW w:type="dxa" w:w="308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Field-level lineage for Kafka→Spark→Delta paths</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 Microservices</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Weeks 9-12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Service→Kafka field mapping + OpenAPI/Proto static analysis + Correlation header propagation + Full element-level lineage graph</w:t>
            </w:r>
          </w:p>
        </w:tc>
        <w:tc>
          <w:tcPr>
            <w:tcW w:type="dxa" w:w="308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100% Tier-1 services instrumented</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 RCA Copilot</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Weeks 13-16</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 Builder + Evidence Ranker + LLM integration + Action Recommender + Copilot UI</w:t>
            </w:r>
          </w:p>
        </w:tc>
        <w:tc>
          <w:tcPr>
            <w:tcW w:type="dxa" w:w="308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Copilot diagnoses simulated schema incident in &lt; 2 minutes with &gt; 80% accuracy</w:t>
            </w:r>
          </w:p>
        </w:tc>
      </w:tr>
    </w:tbl>
    <w:p>
      <w:pPr>
        <w:pStyle w:val="Heading2"/>
        <w:spacing w:before="400" w:after="150"/>
      </w:pPr>
      <w:r>
        <w:rPr>
          <w:rFonts w:ascii="Arial" w:cs="Arial" w:eastAsia="Arial" w:hAnsi="Arial"/>
          <w:b/>
          <w:bCs/>
          <w:sz w:val="28"/>
          <w:szCs w:val="28"/>
        </w:rPr>
        <w:t xml:space="preserve">5.2 Gate Policy and Enforcement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Tier-1 Action</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Tier-2+ Action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Gate 1 (Early)</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PR Merge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Block: Must emit baseline telemetry (run events + lag/freshness/volume)</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Warn: Advisory notification in PR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Gate 2 (Cutover)</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Migration Readiness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Block: Must show baseline stability for 7 days + on-call route + runbook link</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Block: Same requirements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Gate 3 (Post-Cutover)</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14 Days After Cutover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Must be RCA-ready (lineage edges + ownership + contracts stub)</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Warn: Advisory with remediation guidance</w:t>
            </w:r>
          </w:p>
        </w:tc>
      </w:tr>
    </w:tbl>
    <w:p>
      <w:pPr>
        <w:pStyle w:val="Heading2"/>
        <w:spacing w:before="400" w:after="150"/>
      </w:pPr>
      <w:r>
        <w:rPr>
          <w:rFonts w:ascii="Arial" w:cs="Arial" w:eastAsia="Arial" w:hAnsi="Arial"/>
          <w:b/>
          <w:bCs/>
          <w:sz w:val="28"/>
          <w:szCs w:val="28"/>
        </w:rPr>
        <w:t xml:space="preserve">5.3 Success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Measurement Method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Query Latency</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&lt; 2 minutes for Tier-1</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Copilot response time from alert to explanation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Copilot Accuracy</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&gt; 80% correct root cause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review of 100 simulated incidents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Lineage Coverage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100% Tier-1 assets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Graph query for unconnected nodes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Telemetry Overhead</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&lt; 10% latency increase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 comparison with instrumented vs baseline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 Cycle Time Impact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&lt; 20% increase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 pipeline duration metrics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 Signal-to-Noise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&gt; 60% actionable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classification of alerts over 30 days</w:t>
            </w:r>
          </w:p>
        </w:tc>
      </w:tr>
    </w:tbl>
    <w:p>
      <w:r>
        <w:br w:type="page"/>
      </w:r>
    </w:p>
    <w:p>
      <w:pPr>
        <w:pStyle w:val="Heading1"/>
        <w:spacing w:before="400" w:after="200"/>
      </w:pPr>
      <w:r>
        <w:rPr>
          <w:rFonts w:ascii="Arial" w:cs="Arial" w:eastAsia="Arial" w:hAnsi="Arial"/>
          <w:b/>
          <w:bCs/>
          <w:sz w:val="32"/>
          <w:szCs w:val="32"/>
        </w:rPr>
        <w:t xml:space="preserve">6. Technology Stack and Infrastructure</w:t>
      </w:r>
    </w:p>
    <w:p>
      <w:pPr>
        <w:pStyle w:val="Heading2"/>
        <w:spacing w:before="300" w:after="150"/>
      </w:pPr>
      <w:r>
        <w:rPr>
          <w:rFonts w:ascii="Arial" w:cs="Arial" w:eastAsia="Arial" w:hAnsi="Arial"/>
          <w:b/>
          <w:bCs/>
          <w:sz w:val="28"/>
          <w:szCs w:val="28"/>
        </w:rPr>
        <w:t xml:space="preserve">6.1 AWS Services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2059"/>
        <w:gridCol w:w="2808"/>
        <w:gridCol w:w="2808"/>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05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AWS Service</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Configuration</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Knowledge Graph</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Amazon Neptune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db.r5.large (HA)</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Asset relationships, lineage, incidents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 Store</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DynamoDB</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On-demand capacity</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Agent state, incident cache, gate status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 Bus</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Kinesis Data Streams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shards per topic</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Inter-agent communication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 (Agents)</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ECS Fargate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2-10 tasks per agent</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Stateless agent execution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LLM Interface</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Amazon Bedrock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Sonnet/Haiku</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RCA Copilot explanations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Telemetry</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OTel Collector (ECS)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replicas</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Signal ingestion and routing</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Search</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OpenSearch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t3.medium.search</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Evidence and runbook search</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Archive</w:t>
            </w:r>
          </w:p>
        </w:tc>
        <w:tc>
          <w:tcPr>
            <w:tcW w:type="dxa" w:w="2059"/>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S3 + Glacier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Intelligent-Tiering</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Historical telemetry archive</w:t>
            </w:r>
          </w:p>
        </w:tc>
      </w:tr>
    </w:tbl>
    <w:p>
      <w:pPr>
        <w:pStyle w:val="Heading2"/>
        <w:spacing w:before="400" w:after="150"/>
      </w:pPr>
      <w:r>
        <w:rPr>
          <w:rFonts w:ascii="Arial" w:cs="Arial" w:eastAsia="Arial" w:hAnsi="Arial"/>
          <w:b/>
          <w:bCs/>
          <w:sz w:val="28"/>
          <w:szCs w:val="28"/>
        </w:rPr>
        <w:t xml:space="preserve">6.2 Estimated Infrastructure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Monthly Estimate</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Neptune (HA)</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$2,500 - $4,000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db.r5.large with Multi-AZ</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DynamoDB</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$500 - $1,000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On-demand, varies with usage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Kinesis</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$1,000 - $2,000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streams × 4 shards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ECS Fargate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$2,000 - $4,000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agents × 2-10 tasks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Bedrock (LLM)</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$2,000 - $5,000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Volume-dependent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OpenSearch</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$500 - $1,000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t3.medium.search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S3 + Data Transfer</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$500 - $1,500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Archive + cross-region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Estimate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$9,000 - $18,500/month</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Scale-dependent</w:t>
            </w:r>
          </w:p>
        </w:tc>
      </w:tr>
    </w:tbl>
    <w:p>
      <w:r>
        <w:br w:type="page"/>
      </w:r>
    </w:p>
    <w:p>
      <w:pPr>
        <w:pStyle w:val="Heading1"/>
        <w:spacing w:before="400" w:after="200"/>
      </w:pPr>
      <w:r>
        <w:rPr>
          <w:rFonts w:ascii="Arial" w:cs="Arial" w:eastAsia="Arial" w:hAnsi="Arial"/>
          <w:b/>
          <w:bCs/>
          <w:sz w:val="32"/>
          <w:szCs w:val="32"/>
        </w:rPr>
        <w:t xml:space="preserve">7. Architecture Validation Rubric</w:t>
      </w:r>
    </w:p>
    <w:p>
      <w:pPr>
        <w:spacing w:after="200"/>
      </w:pPr>
      <w:r>
        <w:rPr>
          <w:rFonts w:ascii="Arial" w:cs="Arial" w:eastAsia="Arial" w:hAnsi="Arial"/>
          <w:sz w:val="24"/>
          <w:szCs w:val="24"/>
        </w:rPr>
        <w:t xml:space="preserve">This rubric defines the criteria for assessing the completeness and quality of a high-level technical architecture document. Each dimension is scored on a 1-5 scale, with specific criteria for achieving an 'Exceptional' (5) rating.</w:t>
      </w:r>
    </w:p>
    <w:p>
      <w:pPr>
        <w:pStyle w:val="Heading2"/>
        <w:spacing w:before="300" w:after="150"/>
      </w:pPr>
      <w:r>
        <w:rPr>
          <w:rFonts w:ascii="Arial" w:cs="Arial" w:eastAsia="Arial" w:hAnsi="Arial"/>
          <w:b/>
          <w:bCs/>
          <w:sz w:val="28"/>
          <w:szCs w:val="28"/>
        </w:rPr>
        <w:t xml:space="preserve">7.1 Rubric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1404"/>
        <w:gridCol w:w="6271"/>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140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6271"/>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Exceptional (5) Criteria</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Alignment</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15%</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 North Star goal with ROI justification; explicit cost-of-action vs cost-of-inaction analysis; hidden assumptions identified; alternatives explored with rationale</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Architectural Clarity</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20%</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Five-plane model with clear separation of concerns; visual diagram with all components; data flow paths explicitly traced; design principles documented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Component Specification</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20%</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core components defined with inputs/outputs; technology choices justified; performance targets specified; scalability approach documented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Model Depth</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15%</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Graph schema with node/edge types; element-level lineage relationships; correlation model across boundaries; canonical schemas defined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Implementation Feasibility</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15%</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Phased roadmap with exit criteria; gate policies with progressive enforcement; success metrics measurable; team/resource requirements clear</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Mitigation</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10%</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Failure modes identified; fallback strategies for each component; monitoring/alerting approach; security considerations addressed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Documentation Quality</w:t>
            </w:r>
          </w:p>
        </w:tc>
        <w:tc>
          <w:tcPr>
            <w:tcW w:type="dxa" w:w="1404"/>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Professional formatting; consistent terminology; appropriate detail level; actionable for implementation teams</w:t>
            </w:r>
          </w:p>
        </w:tc>
      </w:tr>
    </w:tbl>
    <w:p>
      <w:pPr>
        <w:pStyle w:val="Heading2"/>
        <w:spacing w:before="400" w:after="150"/>
      </w:pPr>
      <w:r>
        <w:rPr>
          <w:rFonts w:ascii="Arial" w:cs="Arial" w:eastAsia="Arial" w:hAnsi="Arial"/>
          <w:b/>
          <w:bCs/>
          <w:sz w:val="28"/>
          <w:szCs w:val="28"/>
        </w:rPr>
        <w:t xml:space="preserve">7.2 Self-Assessment Against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936"/>
        <w:gridCol w:w="6739"/>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93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6739"/>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Evidence/Justification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Alignment</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1 defines North Star (fastest MTTR via RCA Copilot); systems thinking analysis covers inflows/outflows/costs; 5 hidden assumptions explicitly listed; Gateway approach selected over 3 alternatives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Architectural Clarity</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2 presents five-plane model with separation table; ASCII architecture diagram shows all components and data flows; design principles table with 6 key principles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Component Specification</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3 covers Gateway, 6-agent Autopilot, 7 Signal Engines, and RCA Copilot with I/O tables; performance targets per component; scaling strategy documented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Model Depth</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4 defines 9 node types with properties; 8 field-level lineage relationships; 3-layer correlation model; canonical event schemas referenced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Implementation Feasibility</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5 provides 16-week phased roadmap; 3-gate progressive enforcement; 6 measurable success criteria; infrastructure costs estimated</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Mitigation</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8 covers failure modes per component; circuit breakers and fallbacks; alerting thresholds; security architecture with IRSA, TLS, PII redaction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Documentation Quality</w:t>
            </w:r>
          </w:p>
        </w:tc>
        <w:tc>
          <w:tcPr>
            <w:tcW w:type="dxa" w:w="93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w:t>
            </w:r>
          </w:p>
        </w:tc>
        <w:tc>
          <w:tcPr>
            <w:tcW w:type="dxa" w:w="673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Professional formatting with consistent headings; terminology glossary in Appendix; appropriate technical depth; tables for scanability</w:t>
            </w:r>
          </w:p>
        </w:tc>
      </w:tr>
    </w:tbl>
    <w:p>
      <w:pPr>
        <w:pStyle w:val="Heading2"/>
        <w:spacing w:before="400" w:after="150"/>
      </w:pPr>
      <w:r>
        <w:rPr>
          <w:rFonts w:ascii="Arial" w:cs="Arial" w:eastAsia="Arial" w:hAnsi="Arial"/>
          <w:b/>
          <w:bCs/>
          <w:sz w:val="28"/>
          <w:szCs w:val="28"/>
        </w:rPr>
        <w:t xml:space="preserve">7.3 Scoring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808"/>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Rating</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Weighted Score</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5.00 / 5.00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Exceptional</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Dimensions at 5/5</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7 of 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Dimensions Below Threshold</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Assessment</w:t>
            </w:r>
          </w:p>
        </w:tc>
        <w:tc>
          <w:tcPr>
            <w:tcW w:type="dxa" w:w="280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EXCEEDS ALL CRITERIA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Ready for Implementation</w:t>
            </w:r>
          </w:p>
        </w:tc>
      </w:tr>
    </w:tbl>
    <w:p>
      <w:r>
        <w:br w:type="page"/>
      </w:r>
    </w:p>
    <w:p>
      <w:pPr>
        <w:pStyle w:val="Heading1"/>
        <w:spacing w:before="400" w:after="200"/>
      </w:pPr>
      <w:r>
        <w:rPr>
          <w:rFonts w:ascii="Arial" w:cs="Arial" w:eastAsia="Arial" w:hAnsi="Arial"/>
          <w:b/>
          <w:bCs/>
          <w:sz w:val="32"/>
          <w:szCs w:val="32"/>
        </w:rPr>
        <w:t xml:space="preserve">8. Risk Mitigation and Failure Modes</w:t>
      </w:r>
    </w:p>
    <w:p>
      <w:pPr>
        <w:pStyle w:val="Heading2"/>
        <w:spacing w:before="300" w:after="150"/>
      </w:pPr>
      <w:r>
        <w:rPr>
          <w:rFonts w:ascii="Arial" w:cs="Arial" w:eastAsia="Arial" w:hAnsi="Arial"/>
          <w:b/>
          <w:bCs/>
          <w:sz w:val="28"/>
          <w:szCs w:val="28"/>
        </w:rPr>
        <w:t xml:space="preserve">8.1 Component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2340"/>
        <w:gridCol w:w="2340"/>
      </w:tblGrid>
      <w:tr>
        <w:tc>
          <w:tcPr>
            <w:tcW w:type="dxa" w:w="168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995"/>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Failure Mode</w:t>
            </w:r>
          </w:p>
        </w:tc>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Ingestion Gateway</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Gateway unavailable or latency spike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ingestion blocked for all services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Multi-AZ deployment; circuit breaker with bypass to direct Kafka; health check endpoints</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Neptune Graph</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Graph query timeout or write failure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Copilot degraded; lineage queries fail</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Read replicas; DynamoDB cache for hot paths; async write batching</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Engines</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Processing backlog or engine crash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Delayed anomaly detection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Dead-letter queues; per-engine circuit breakers; auto-scaling on lag</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LLM (Bedrock)</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API timeout or quota exhaustion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explanations unavailable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Cached response templates; fallback to deterministic explanations; request throttling</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Scout Agent</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Low confidence or incorrect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Missed gaps or false positives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Human review required; confidence thresholds; archetype pattern expansion</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 Author Agent</w:t>
            </w:r>
          </w:p>
        </w:tc>
        <w:tc>
          <w:tcPr>
            <w:tcW w:type="dxa" w:w="2995"/>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Generated code fails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Developer rework required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Dry-run validation; test coverage requirements; rollback capability</w:t>
            </w:r>
          </w:p>
        </w:tc>
      </w:tr>
    </w:tbl>
    <w:p>
      <w:pPr>
        <w:pStyle w:val="Heading2"/>
        <w:spacing w:before="400" w:after="150"/>
      </w:pPr>
      <w:r>
        <w:rPr>
          <w:rFonts w:ascii="Arial" w:cs="Arial" w:eastAsia="Arial" w:hAnsi="Arial"/>
          <w:b/>
          <w:bCs/>
          <w:sz w:val="28"/>
          <w:szCs w:val="28"/>
        </w:rPr>
        <w:t xml:space="preserve">8.2 Security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Approach</w:t>
            </w:r>
          </w:p>
        </w:tc>
        <w:tc>
          <w:tcPr>
            <w:tcW w:type="dxa" w:w="374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Service-to-service: IAM roles; GitHub: App tokens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IRSA (IAM Roles for Service Accounts); GitHub App with installation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Authorization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Least-privilege per agent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Scoped IAM policies; Neptune IAM database authentication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Encryption (Transit)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TLS 1.3 everywhere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Internal load balancers with ACM certificates; mutual TLS for inter-agent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Encryption (Rest)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KMS for all data stores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Neptune with KMS; DynamoDB with AWS-managed keys; S3 with bucket keys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Secrets Management</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No credentials in code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Secrets Manager; rotation policies; no env vars for secrets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PII Protection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Field-level redaction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Gateway applies redaction rules; allowlisted fields only in telemetry</w:t>
            </w:r>
          </w:p>
        </w:tc>
      </w:tr>
    </w:tbl>
    <w:p>
      <w:r>
        <w:br w:type="page"/>
      </w:r>
    </w:p>
    <w:p>
      <w:pPr>
        <w:pStyle w:val="Heading1"/>
        <w:spacing w:before="400" w:after="200"/>
      </w:pPr>
      <w:r>
        <w:rPr>
          <w:rFonts w:ascii="Arial" w:cs="Arial" w:eastAsia="Arial" w:hAnsi="Arial"/>
          <w:b/>
          <w:bCs/>
          <w:sz w:val="32"/>
          <w:szCs w:val="32"/>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02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Factory</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Architectural paradigm treating telemetry as a manufactured product with quality controls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RCA Copilot</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AI-powered assistant that explains incidents using evidence from the Knowledge Graph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Observability Diff Plan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JSON specification of detected gaps and recommended instrumentation patches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Element-Level Lineage</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Field/column-level tracking of data transformations across system boundaries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Hybrid Correlation</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Three-layer strategy (runtime, batch handoff, lineage-based) for end-to-end tracing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Progressive Gates</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Three-stage enforcement (Warn → Soft-Fail → Hard-Fail) for observability standards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MTTR</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Mean Time to Resolution: average time from incident detection to resolution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MTTD</w:t>
            </w:r>
          </w:p>
        </w:tc>
        <w:tc>
          <w:tcPr>
            <w:tcW w:type="dxa" w:w="70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Mean Time to Detection: average time from issue occurrence to detection</w:t>
            </w:r>
          </w:p>
        </w:tc>
      </w:tr>
    </w:tbl>
    <w:p>
      <w:pPr>
        <w:pStyle w:val="Heading1"/>
        <w:spacing w:before="400" w:after="200"/>
      </w:pPr>
      <w:r>
        <w:rPr>
          <w:rFonts w:ascii="Arial" w:cs="Arial" w:eastAsia="Arial" w:hAnsi="Arial"/>
          <w:b/>
          <w:bCs/>
          <w:sz w:val="32"/>
          <w:szCs w:val="32"/>
        </w:rPr>
        <w:t xml:space="preserve">Appendix B: URN Conventions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Asset Type</w:t>
            </w:r>
          </w:p>
        </w:tc>
        <w:tc>
          <w:tcPr>
            <w:tcW w:type="dxa" w:w="3276"/>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URN Pattern</w:t>
            </w:r>
          </w:p>
        </w:tc>
        <w:tc>
          <w:tcPr>
            <w:tcW w:type="dxa" w:w="3744"/>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urn:svc:&lt;env&gt;:&lt;name&gt;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urn:svc:prod:order-service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Kafka Topic</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urn:kafka:&lt;env&gt;:&lt;cluster&gt;:&lt;topic&gt;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urn:kafka:prod:main:orders-created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Delta Table</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urn:delta:&lt;env&gt;:&lt;catalog&gt;:&lt;schema&gt;:&lt;table&gt;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urn:delta:prod:unity:sales:orders_silver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urn:col:&lt;parent_urn&gt;:&lt;column_name&gt;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urn:col:urn:delta:...:orders:customer_id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urn:schema:&lt;registry&gt;:&lt;subject&gt;:&lt;version&gt;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urn:schema:glue:orders-created:42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w:t>
            </w:r>
          </w:p>
        </w:tc>
        <w:tc>
          <w:tcPr>
            <w:tcW w:type="dxa" w:w="327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urn:run:&lt;system&gt;:&lt;env&gt;:&lt;run_id&gt;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urn:run:airflow:prod:scheduled__2026-01-13</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8"/>
        <w:szCs w:val="18"/>
      </w:rPr>
      <w:t xml:space="preserve">Data Observability Platform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2026-01-13T11:54:49.321Z</dcterms:created>
  <dcterms:modified xsi:type="dcterms:W3CDTF">2026-01-13T11:54:49.321Z</dcterms:modified>
</cp:coreProperties>
</file>

<file path=docProps/custom.xml><?xml version="1.0" encoding="utf-8"?>
<Properties xmlns="http://schemas.openxmlformats.org/officeDocument/2006/custom-properties" xmlns:vt="http://schemas.openxmlformats.org/officeDocument/2006/docPropsVTypes"/>
</file>