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MIS 各章節查詢清單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5505"/>
        <w:tblGridChange w:id="0">
          <w:tblGrid>
            <w:gridCol w:w="3495"/>
            <w:gridCol w:w="550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章節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內容概覽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CH1 當今全球商業中的資訊系統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數位化企業、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的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個戰略目標、IS技術面定義、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管理、組織、技術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三構面、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互補性資產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(組織、管理、社會)、IS技術與社會觀點(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sociotechnical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)、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IS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與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Computer素養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CH2 全球電子化企業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BP、IS與BP、TPS、MIS、DSS、ESS(EIS)、Intranet、Extranent、電子企業、電子商務、電子政府、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collaboration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social business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、協作資產、科技、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IT Governance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、評估和選擇協作與社群工具的步驟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CH3 資訊系統組織和策略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組織技術性(technical)與行為學(behavioral)定義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個組織的特色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(Feature)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破壞性創新、經濟面 : 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交易成本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與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代理成本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、行為面 : 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組織平坦化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與各團體間政治競爭的產物、Leavitt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鑽石模型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、Lewin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變革理論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Kotter變革八大程序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、個人抗拒變革原因、減少變革抗拒、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Porter競爭力模型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、用IS達成的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四種競爭策略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、IT與企業目標一致對於戰略性使用系統的重要性、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價值鏈模型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、價值網、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Synergies(綜效)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Core competency(核心能力)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網路經濟和生態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、數位商品、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網路外部性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、正回饋法則、虛擬公司(virtual company)、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Business ecosystem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(企業生態系統)、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sz w:val="24"/>
                <w:szCs w:val="24"/>
                <w:rtl w:val="0"/>
              </w:rPr>
              <w:t xml:space="preserve">策略IS的管理挑戰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、策略系統分析方法、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CH4 IS倫理與社會問題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水波效應(個人、社會、政治；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資訊權利與義務、財產權利與義務、責任歸屬與控制、系統品質、生活品質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)、輪廓描繪(profiling)、不明顯關聯察覺(nonobvious relationship awareness, NORA)、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六種道德標準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[Golden Rule(黃金法則)、Immanuel Kant’s Categorical Imperative(康德的普遍性原則)、Descartes’ rule of change(笛卡爾的改變原則)、Utilitarian Principle(功利主義原則)、Risk Aversion Principle(風險規避原則)、No free lunch rule(天下無白吃的午餐) ]、隱私、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知情同意(informed consent)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GDPR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、產業自律、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財產權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[ 營業秘密(Trade secret)、版權(Copyright)、專利法(Patent law)、數位智慧財產權 ]、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系統品質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[ Software bugs and errors(軟體bug和錯誤)、Hardware or facility failures caused by natural or other causes(由自然或其他原因引起的硬體或設施故障)、Poor input data quality(輸入資料品質差) : 軟體產業的測試標準尚未達到性能可接受但不完美的軟體 ]、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電腦犯罪(computer crime)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電腦濫用(computer abuse)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CH5 基礎建設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IT基礎架構定義(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技術、服務、包含硬體、軟體、服務的基礎架構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)、Web伺服器(web server)、應用程式伺服器(application server)、多層式主從架構(multitiered client/server)、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摩爾定律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(Moore’s Law)、大量數位儲存定律(Law of Mass Digital Storage)、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網路經濟學(Network economics)[梅特卡夫法則(Metcalfe's law)]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、通訊成本下降(邊際成本)、技術標準(規模經濟)、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網路效應(Network Effect)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、需要管理的IT基礎架構的元件(企業軟體、硬體、網路通訊、網際網路、資料儲存與管理、顧問與系統整合、作業系統)、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IT消費化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雲端計算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網格計算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邊緣計算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虛擬化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、BYOD、綠色計算、多核處理器、雲端特徵(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隨需自助服務、隨時隨地任何網路裝置存取、多人共享資源池、可計量的服務、可快速重新部屬的靈活度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)、Iaas、Paas、SaaS、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開源軟體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、Web服務、XML、軟體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外部來源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(現成軟體包、雲端運算服務、委外開發)、MashUp、IT架構管理挑戰(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擴充性、相容性、安全性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TCO模型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(獲得成本、維運成本、控制成本)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CH6 商業智慧基礎-資料庫和資訊管理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實體、屬性、File System的問題、DB、DBMS定義與功能、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關聯式DBMS組織資料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、資料操作語言、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NoSQL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正規化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、參考完整性、實體關係圖、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大數據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商業智慧基礎架構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資料倉儲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資料市集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OLAP與功能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Hadoop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、文字探勘、網頁探勘、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資料探勘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、資訊政策、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資料管理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資料品質審查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資料清理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CH7 通訊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網路基礎建設、網路通訊趨勢、類比與數位、LAN、MAN、WAN、網路的企業價值、DNS、HTTP、URL、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整合通訊(Unified Communication)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、搜尋引擎、SEO、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Social Search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Semantic Search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5G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、RFID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CH8 資訊安全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IS常見威脅、惡意軟體、病毒、蠕蟲、特洛伊木馬、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SQL Injection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、勒索軟體、間諜軟體、Hacker、Cracker、Cybervandalism、計算機犯罪、DoS、DDoS、身分盜用、網路釣魚、evil twins、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spear phishing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、Click Fraud、Cyberterrorism and Cyberwarfare、員工產生的安全問題、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安全與控制的企業價值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計算機取證(forensics)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一般控制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應用控制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風險評估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安全策略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、使用規章、身分管理、災難回復計畫、營運持續規劃、IS稽核、身分驗證方式、防火牆、Stateful inspection、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入侵檢測系統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、防毒軟體、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Unified Threat Management Systems(UTMS)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數位憑證(digital certificates)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公開金鑰基礎建設(Public Key Infrastructure , KPI 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Fault-tolerant computer systems(容錯電腦系統)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Deep Packet Inspection(DPI)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Managed security service providers (MSSPs)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High-availability computing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雲端計算安全問題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、軟體評量、軟體測試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CH9 達成卓越營運與顧客親密度 - 企業應用程式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Enterprise applications、EA企業價值、EA如何改善效率、EA挑戰、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供應鏈與其組成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供應鏈管理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長鞭效應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、供應鏈管理軟體、Supply chain planning systems、Supply chain execution systems、供應鏈挑戰、推式模型、拉式模型、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CRM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、操作型CRM、分析型CRM、協同型CRM、partner relationship management (PRM)、Employee relationship management (ERM)、sales force automation、Customer Service、Marketing、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客戶流失率(Customer Churn Rate)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Social CRM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CH10 電子商務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電子商務的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四個商業趨勢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三個技術趨勢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、電子商務的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八個特色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、數位市場、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網路效應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長尾理論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、數位商品、B2B、B2C、C2C、B2B2C、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O2O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、全通路、電子零售(E-tailer)、交易仲介商(Transaction broker)、市場創造者(Market creator)、內容供應商(content provider、社群供應商(community provider)、廣告收入(Advertising revenue)、銷售收入(Sales revenue)、入口網站(Portal)、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服務供應商(Service provider)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訂閱收入(Subscription revenue)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免費增值(Free/Freemium Revenue)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、手續費(Transaction fee revenue)、合作盈利模式(Affiliate Revenue)、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社群網路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、群眾智慧、行為定向、社群圖譜、社群網路行銷、社群媒體、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Net marketplaces(e-hubs)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Private industrial networks - private exchange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、LBS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CH11 知識管理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KM定義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KMS定義與優勢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、資料&amp;資訊&amp;知識、智慧&amp;顯性知識&amp;隱性知識、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知識管理4階段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、Enterprise-wide knowledge management systems、Knowledge network systems、智慧技術、專家黃頁、知識地圖、Taxonomy、MOOCs、Learning Management Systems、Knowledge Work Systems、CAD、VR、AR、人工智慧、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專家系統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個案推理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Fuzzy Logic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、機器學習、類神經網路、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智慧代理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、基因演算法、交叉比對、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編碼化策略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個人化策略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CH12 增強決策制定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決策階層與內容、結構化決策、半結構化決策、非結構化決策、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Simon決策四階段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、古典派管理行為、行為學派管理行為、高速自動化決策好壞、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IT投資部總是有效的3個原因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、IS可支援的管理腳色、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商業智慧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、商業分析、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商業智慧6要素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(來自企業環境資料、商業智慧基礎架構、分析工具、管裡面使用者與方法、傳送平台、UI)、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商業智慧的分析功能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(生產報告、參數化報告、儀錶板/記分板、即時查詢、向下鑽取、預測/分析/統計模型)、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智慧營運與IOT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開發BI、BA的策略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(single vendor、Multiple best-of-breed vendors)、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平衡計分卡(BSC)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企業績效管理(BPM)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GDSS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CH13 建立資訊系統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4個組織變革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(自動化、合理化、BPR、典範轉移)、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企業流程管理(BPM)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、資訊需求、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系統分析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系統設計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、Programming、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測試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(單元測試、系統測試、接受度測試)、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Conversion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(直接切換、平行策略、階段性轉換、前導轉換)、Production、Maintenance、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結構化方法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OOD方法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、CASE、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SDLC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Prototype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、應用程式套裝軟體、使用者自建、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Outscoure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、RAD、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敏捷開發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、SRCUM、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DevOps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漸增模式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螺旋模式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CMMI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、Component-based development、Web Service、Mobile Website、Mobile Web App、Native App、RWD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CH14 專案管理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專案管理不善導致的問題、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專案管理定義活動變數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專案負責人員階層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資訊系統計劃的目的與類別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KPI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Portfolio analysis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Scoring models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有形無形收益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資本計算模型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(payback method、the accounting rate of return on investment、net present value、the internal rate of return)、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風險因素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(大小、結構、科技經驗)、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變革促進者(系統分析師)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、變革實施、管理層與使用者支持的重要、EA &amp; BPR &amp; 併購的高失敗率、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控制專案風險策略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、專案計畫與實施的組織因素、人因工程學、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Ergonomics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Organizational impact analysis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Sociotechnical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CH15 管理全球資訊系統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全球企業增長的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五個文化因素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(社會規範、文化、政治、通訊與運輸技術、知識庫)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以及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五個特定企業因素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sz w:val="24"/>
                <w:szCs w:val="24"/>
                <w:rtl w:val="0"/>
              </w:rPr>
              <w:t xml:space="preserve">(勞動力、市場、生產與營運、規模經濟、合作)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、全球系統發展的主要挑戰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(文化、社會期待、政治法律、標準、可靠度、速度、網路)、有些公司沒有計劃發展國際體系、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全球策略的四種不同系統配置因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企業和組織結構的四個主要策略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、管理問題(用戶需求、流程、開發、版本)、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展開全球商業的三項原則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開發實施全球系統三步驟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、合作與其用於建構全球資訊系統、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全球系統技術問題(硬體平台與系統整合、通訊、全球軟體)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、幫助全球系統的開發技術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