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70B6" w14:textId="42BD5DC3" w:rsidR="00112916" w:rsidRDefault="00112916">
      <w:r>
        <w:rPr>
          <w:noProof/>
        </w:rPr>
        <w:drawing>
          <wp:inline distT="0" distB="0" distL="0" distR="0" wp14:anchorId="55A7833A" wp14:editId="2C457C35">
            <wp:extent cx="6645910" cy="3642360"/>
            <wp:effectExtent l="0" t="0" r="2540" b="0"/>
            <wp:docPr id="6" name="Picture 6" descr="Camunda 7 vs Camunda 8 Deploymen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unda 7 vs Camunda 8 Deployment 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D155" w14:textId="1C40F944" w:rsidR="004249D1" w:rsidRDefault="004249D1">
      <w:r w:rsidRPr="004249D1">
        <w:rPr>
          <w:noProof/>
        </w:rPr>
        <w:drawing>
          <wp:inline distT="0" distB="0" distL="0" distR="0" wp14:anchorId="7A019C7C" wp14:editId="0DC936A3">
            <wp:extent cx="6785675" cy="506498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192"/>
                    <a:stretch/>
                  </pic:blipFill>
                  <pic:spPr bwMode="auto">
                    <a:xfrm>
                      <a:off x="0" y="0"/>
                      <a:ext cx="6799595" cy="507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DCB9E" w14:textId="77777777" w:rsidR="003B40D3" w:rsidRPr="003B40D3" w:rsidRDefault="003B40D3" w:rsidP="003B40D3">
      <w:pPr>
        <w:pStyle w:val="NormalWeb"/>
        <w:rPr>
          <w:rFonts w:ascii="IBM Plex Sans" w:hAnsi="IBM Plex Sans"/>
          <w:color w:val="1C1E21"/>
          <w:lang w:val="en-US"/>
        </w:rPr>
      </w:pPr>
      <w:r w:rsidRPr="003B40D3">
        <w:rPr>
          <w:rFonts w:ascii="IBM Plex Sans" w:hAnsi="IBM Plex Sans"/>
          <w:color w:val="1C1E21"/>
          <w:lang w:val="en-US"/>
        </w:rPr>
        <w:t>If no condition is fulfilled, it takes the </w:t>
      </w:r>
      <w:r w:rsidRPr="003B40D3">
        <w:rPr>
          <w:rStyle w:val="Strong"/>
          <w:rFonts w:ascii="IBM Plex Sans" w:hAnsi="IBM Plex Sans"/>
          <w:color w:val="1C1E21"/>
          <w:lang w:val="en-US"/>
        </w:rPr>
        <w:t>default flow</w:t>
      </w:r>
      <w:r w:rsidRPr="003B40D3">
        <w:rPr>
          <w:rFonts w:ascii="IBM Plex Sans" w:hAnsi="IBM Plex Sans"/>
          <w:color w:val="1C1E21"/>
          <w:lang w:val="en-US"/>
        </w:rPr>
        <w:t> of the gateway. Note that the default flow is not expected to have a condition, and is therefore not evaluated. If no condition is fulfilled and the gateway has no default flow, an incident is created.</w:t>
      </w:r>
    </w:p>
    <w:p w14:paraId="0EE92C51" w14:textId="77777777" w:rsidR="003B40D3" w:rsidRPr="003B40D3" w:rsidRDefault="003B40D3" w:rsidP="003B40D3">
      <w:pPr>
        <w:pStyle w:val="NormalWeb"/>
        <w:rPr>
          <w:rFonts w:ascii="IBM Plex Sans" w:hAnsi="IBM Plex Sans"/>
          <w:color w:val="1C1E21"/>
          <w:lang w:val="en-US"/>
        </w:rPr>
      </w:pPr>
      <w:r w:rsidRPr="003B40D3">
        <w:rPr>
          <w:rFonts w:ascii="IBM Plex Sans" w:hAnsi="IBM Plex Sans"/>
          <w:color w:val="1C1E21"/>
          <w:lang w:val="en-US"/>
        </w:rPr>
        <w:lastRenderedPageBreak/>
        <w:t>For example: No courses selected then the default flow is taken.</w:t>
      </w:r>
    </w:p>
    <w:p w14:paraId="65737DB4" w14:textId="5BCE419E" w:rsidR="003B40D3" w:rsidRDefault="003B40D3">
      <w:pPr>
        <w:rPr>
          <w:lang w:val="en-US"/>
        </w:rPr>
      </w:pPr>
      <w:r w:rsidRPr="003B40D3">
        <w:rPr>
          <w:noProof/>
          <w:lang w:val="en-US"/>
        </w:rPr>
        <w:drawing>
          <wp:inline distT="0" distB="0" distL="0" distR="0" wp14:anchorId="4BD2DB5C" wp14:editId="58DE1B68">
            <wp:extent cx="6645910" cy="4764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2643" w14:textId="5DBF4362" w:rsidR="003B40D3" w:rsidRDefault="00AA3C26">
      <w:pPr>
        <w:rPr>
          <w:lang w:val="en-US"/>
        </w:rPr>
      </w:pPr>
      <w:r w:rsidRPr="004249D1">
        <w:rPr>
          <w:noProof/>
        </w:rPr>
        <w:lastRenderedPageBreak/>
        <w:drawing>
          <wp:inline distT="0" distB="0" distL="0" distR="0" wp14:anchorId="0D88E158" wp14:editId="57399F2B">
            <wp:extent cx="6623436" cy="59103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1" r="2884"/>
                    <a:stretch/>
                  </pic:blipFill>
                  <pic:spPr bwMode="auto">
                    <a:xfrm>
                      <a:off x="0" y="0"/>
                      <a:ext cx="6640084" cy="592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15BF4" w14:textId="392C83E1" w:rsidR="003B40D3" w:rsidRDefault="003B40D3">
      <w:pPr>
        <w:rPr>
          <w:lang w:val="en-US"/>
        </w:rPr>
      </w:pPr>
      <w:r w:rsidRPr="003B40D3">
        <w:rPr>
          <w:noProof/>
          <w:lang w:val="en-US"/>
        </w:rPr>
        <w:lastRenderedPageBreak/>
        <w:drawing>
          <wp:inline distT="0" distB="0" distL="0" distR="0" wp14:anchorId="06300082" wp14:editId="2EBF2AAF">
            <wp:extent cx="6645910" cy="5355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1086" w14:textId="5EA2D0F3" w:rsidR="00AA3C26" w:rsidRDefault="00AA3C26">
      <w:pPr>
        <w:rPr>
          <w:lang w:val="en-US"/>
        </w:rPr>
      </w:pPr>
    </w:p>
    <w:p w14:paraId="2736E640" w14:textId="3DB1A7B3" w:rsidR="00AA3C26" w:rsidRDefault="00AA3C26">
      <w:pPr>
        <w:rPr>
          <w:lang w:val="en-US"/>
        </w:rPr>
      </w:pPr>
    </w:p>
    <w:p w14:paraId="637B656D" w14:textId="77777777" w:rsidR="0035551B" w:rsidRDefault="0035551B">
      <w:pPr>
        <w:rPr>
          <w:lang w:val="en-US"/>
        </w:rPr>
      </w:pPr>
    </w:p>
    <w:p w14:paraId="0C964795" w14:textId="054EDE45" w:rsidR="0035551B" w:rsidRPr="0035551B" w:rsidRDefault="0035551B">
      <w:pPr>
        <w:rPr>
          <w:lang w:val="en-US"/>
        </w:rPr>
      </w:pPr>
      <w:r w:rsidRPr="0035551B">
        <w:rPr>
          <w:rFonts w:ascii="IBM Plex Sans" w:hAnsi="IBM Plex Sans"/>
          <w:b/>
          <w:bCs/>
          <w:color w:val="1C1E21"/>
          <w:lang w:val="en-US"/>
        </w:rPr>
        <w:t>A service task</w:t>
      </w:r>
      <w:r w:rsidRPr="0035551B">
        <w:rPr>
          <w:rFonts w:ascii="IBM Plex Sans" w:hAnsi="IBM Plex Sans"/>
          <w:color w:val="1C1E21"/>
          <w:lang w:val="en-US"/>
        </w:rPr>
        <w:t xml:space="preserve"> represents a work item in the process with a specific type.</w:t>
      </w:r>
    </w:p>
    <w:p w14:paraId="316D57F8" w14:textId="760607D8" w:rsidR="00AA3C26" w:rsidRPr="0035551B" w:rsidRDefault="0035551B">
      <w:pPr>
        <w:rPr>
          <w:lang w:val="en-US"/>
        </w:rPr>
      </w:pPr>
      <w:r w:rsidRPr="0035551B">
        <w:rPr>
          <w:rFonts w:ascii="IBM Plex Sans" w:hAnsi="IBM Plex Sans"/>
          <w:b/>
          <w:bCs/>
          <w:color w:val="1C1E21"/>
          <w:lang w:val="en-US"/>
        </w:rPr>
        <w:t>A user task</w:t>
      </w:r>
      <w:r w:rsidRPr="0035551B">
        <w:rPr>
          <w:rFonts w:ascii="IBM Plex Sans" w:hAnsi="IBM Plex Sans"/>
          <w:color w:val="1C1E21"/>
          <w:lang w:val="en-US"/>
        </w:rPr>
        <w:t xml:space="preserve"> is used to model work that needs to be done by a human actor.</w:t>
      </w:r>
    </w:p>
    <w:p w14:paraId="2A11A483" w14:textId="0FEEF9EA" w:rsidR="0035551B" w:rsidRDefault="0035551B">
      <w:pPr>
        <w:rPr>
          <w:rFonts w:ascii="IBM Plex Sans" w:hAnsi="IBM Plex Sans"/>
          <w:color w:val="1C1E21"/>
          <w:lang w:val="en-US"/>
        </w:rPr>
      </w:pPr>
      <w:r w:rsidRPr="0035551B">
        <w:rPr>
          <w:rFonts w:ascii="IBM Plex Sans" w:hAnsi="IBM Plex Sans"/>
          <w:b/>
          <w:bCs/>
          <w:color w:val="1C1E21"/>
          <w:lang w:val="en-US"/>
        </w:rPr>
        <w:t>Receive tasks</w:t>
      </w:r>
      <w:r w:rsidRPr="0035551B">
        <w:rPr>
          <w:rFonts w:ascii="IBM Plex Sans" w:hAnsi="IBM Plex Sans"/>
          <w:color w:val="1C1E21"/>
          <w:lang w:val="en-US"/>
        </w:rPr>
        <w:t xml:space="preserve"> reference a message; these are used to wait until a proper message is received.</w:t>
      </w:r>
    </w:p>
    <w:p w14:paraId="5DF64E63" w14:textId="53BFFD01" w:rsidR="0035551B" w:rsidRDefault="0035551B">
      <w:pPr>
        <w:rPr>
          <w:rFonts w:ascii="IBM Plex Sans" w:hAnsi="IBM Plex Sans"/>
          <w:color w:val="1C1E21"/>
          <w:lang w:val="en-US"/>
        </w:rPr>
      </w:pPr>
      <w:r w:rsidRPr="0035551B">
        <w:rPr>
          <w:rFonts w:ascii="IBM Plex Sans" w:hAnsi="IBM Plex Sans"/>
          <w:b/>
          <w:bCs/>
          <w:color w:val="1C1E21"/>
          <w:lang w:val="en-US"/>
        </w:rPr>
        <w:t>A business rule task</w:t>
      </w:r>
      <w:r w:rsidRPr="0035551B">
        <w:rPr>
          <w:rFonts w:ascii="IBM Plex Sans" w:hAnsi="IBM Plex Sans"/>
          <w:color w:val="1C1E21"/>
          <w:lang w:val="en-US"/>
        </w:rPr>
        <w:t xml:space="preserve"> is used to model the evaluation of a business rule; for example, a decision modeled in </w:t>
      </w:r>
      <w:hyperlink r:id="rId10" w:tgtFrame="_blank" w:history="1">
        <w:r w:rsidRPr="0035551B">
          <w:rPr>
            <w:rStyle w:val="Hyperlink"/>
            <w:rFonts w:ascii="IBM Plex Sans" w:hAnsi="IBM Plex Sans"/>
            <w:lang w:val="en-US"/>
          </w:rPr>
          <w:t>Decision Model and Notation</w:t>
        </w:r>
      </w:hyperlink>
      <w:r w:rsidRPr="0035551B">
        <w:rPr>
          <w:rFonts w:ascii="IBM Plex Sans" w:hAnsi="IBM Plex Sans"/>
          <w:color w:val="1C1E21"/>
          <w:lang w:val="en-US"/>
        </w:rPr>
        <w:t> (DMN).</w:t>
      </w:r>
    </w:p>
    <w:p w14:paraId="0759DF04" w14:textId="5817197E" w:rsidR="0035551B" w:rsidRDefault="0035551B">
      <w:pPr>
        <w:rPr>
          <w:rFonts w:ascii="IBM Plex Sans" w:hAnsi="IBM Plex Sans"/>
          <w:color w:val="1C1E21"/>
          <w:lang w:val="en-US"/>
        </w:rPr>
      </w:pPr>
      <w:r w:rsidRPr="0035551B">
        <w:rPr>
          <w:rFonts w:ascii="IBM Plex Sans" w:hAnsi="IBM Plex Sans"/>
          <w:b/>
          <w:bCs/>
          <w:color w:val="1C1E21"/>
          <w:lang w:val="en-US"/>
        </w:rPr>
        <w:t>A script task</w:t>
      </w:r>
      <w:r w:rsidRPr="0035551B">
        <w:rPr>
          <w:rFonts w:ascii="IBM Plex Sans" w:hAnsi="IBM Plex Sans"/>
          <w:color w:val="1C1E21"/>
          <w:lang w:val="en-US"/>
        </w:rPr>
        <w:t xml:space="preserve"> is used to model the evaluation of a script; for example, a script written in Groovy, JavaScript, or Python.</w:t>
      </w:r>
    </w:p>
    <w:p w14:paraId="0939DC4E" w14:textId="68E8C7D3" w:rsidR="0035551B" w:rsidRDefault="0035551B">
      <w:pPr>
        <w:rPr>
          <w:rFonts w:ascii="IBM Plex Sans" w:hAnsi="IBM Plex Sans"/>
          <w:color w:val="1C1E21"/>
          <w:lang w:val="en-US"/>
        </w:rPr>
      </w:pPr>
      <w:r w:rsidRPr="0035551B">
        <w:rPr>
          <w:rFonts w:ascii="IBM Plex Sans" w:hAnsi="IBM Plex Sans"/>
          <w:b/>
          <w:bCs/>
          <w:color w:val="1C1E21"/>
          <w:lang w:val="en-US"/>
        </w:rPr>
        <w:t>A send task</w:t>
      </w:r>
      <w:r w:rsidRPr="0035551B">
        <w:rPr>
          <w:rFonts w:ascii="IBM Plex Sans" w:hAnsi="IBM Plex Sans"/>
          <w:color w:val="1C1E21"/>
          <w:lang w:val="en-US"/>
        </w:rPr>
        <w:t xml:space="preserve"> is used to model the publication of a message to an external system; for example, to a Kafka topic or a mail server.</w:t>
      </w:r>
    </w:p>
    <w:p w14:paraId="4546DADE" w14:textId="77777777" w:rsidR="0035551B" w:rsidRPr="0035551B" w:rsidRDefault="0035551B">
      <w:pPr>
        <w:rPr>
          <w:lang w:val="en-US"/>
        </w:rPr>
      </w:pPr>
    </w:p>
    <w:p w14:paraId="2F8B1EB1" w14:textId="77777777" w:rsidR="0035551B" w:rsidRDefault="0035551B">
      <w:pPr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en-US" w:eastAsia="ru-RU"/>
        </w:rPr>
        <w:br w:type="page"/>
      </w:r>
    </w:p>
    <w:p w14:paraId="5C7C7FF0" w14:textId="4A476218" w:rsidR="00AA3C26" w:rsidRPr="00AA3C26" w:rsidRDefault="00AA3C26" w:rsidP="00AA3C26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en-US" w:eastAsia="ru-RU"/>
        </w:rPr>
      </w:pPr>
      <w:r w:rsidRPr="00AA3C26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en-US" w:eastAsia="ru-RU"/>
        </w:rPr>
        <w:lastRenderedPageBreak/>
        <w:t>Service tasks</w:t>
      </w:r>
    </w:p>
    <w:p w14:paraId="2F44FAB2" w14:textId="739E8EB0" w:rsidR="00AA3C26" w:rsidRPr="00AA3C26" w:rsidRDefault="00AA3C26" w:rsidP="00AA3C26">
      <w:pPr>
        <w:spacing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A service task = a work item </w:t>
      </w:r>
      <w:r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of </w:t>
      </w: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a specific type.</w:t>
      </w:r>
    </w:p>
    <w:p w14:paraId="045256B5" w14:textId="52C93A08" w:rsidR="00AA3C26" w:rsidRPr="00AA3C26" w:rsidRDefault="00AA3C26" w:rsidP="00AA3C26">
      <w:p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</w:pPr>
      <w:r w:rsidRPr="00AA3C26">
        <w:rPr>
          <w:noProof/>
          <w:lang w:val="en-US"/>
        </w:rPr>
        <w:drawing>
          <wp:inline distT="0" distB="0" distL="0" distR="0" wp14:anchorId="4BA6E3C3" wp14:editId="5A2B863A">
            <wp:extent cx="5443855" cy="8718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21A3" w14:textId="0BD48528" w:rsidR="00AA3C26" w:rsidRPr="00AA3C26" w:rsidRDefault="00AA3C26" w:rsidP="00AA3C26">
      <w:p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When a service task is entered, a </w:t>
      </w:r>
      <w:proofErr w:type="spellStart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c</w:t>
      </w:r>
      <w:r w:rsidR="002F252B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`</w:t>
      </w: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orresponding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 job is created. The process instance stops here and waits until the job is complete.</w:t>
      </w:r>
    </w:p>
    <w:p w14:paraId="3C7859C9" w14:textId="77777777" w:rsidR="00AA3C26" w:rsidRPr="00AA3C26" w:rsidRDefault="00AA3C26" w:rsidP="00AA3C26">
      <w:p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A </w:t>
      </w:r>
      <w:hyperlink r:id="rId12" w:history="1">
        <w:r w:rsidRPr="00AA3C26">
          <w:rPr>
            <w:rFonts w:ascii="IBM Plex Sans" w:eastAsia="Times New Roman" w:hAnsi="IBM Plex Sans" w:cs="Times New Roman"/>
            <w:color w:val="0000FF"/>
            <w:sz w:val="24"/>
            <w:szCs w:val="24"/>
            <w:u w:val="single"/>
            <w:lang w:val="en-US" w:eastAsia="ru-RU"/>
          </w:rPr>
          <w:t>job worker</w:t>
        </w:r>
      </w:hyperlink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 can subscribe to the job type, process the jobs, and complete them using one of the </w:t>
      </w:r>
      <w:proofErr w:type="spellStart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Zeebe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 clients. When the job is complete, the service task is completed and the process instance continues.</w:t>
      </w:r>
    </w:p>
    <w:p w14:paraId="70193940" w14:textId="77777777" w:rsidR="00AA3C26" w:rsidRPr="00AA3C26" w:rsidRDefault="00AA3C26" w:rsidP="00AA3C26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</w:pPr>
      <w:r w:rsidRPr="00AA3C26"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  <w:t>Task definition</w:t>
      </w:r>
      <w:hyperlink r:id="rId13" w:anchor="task-definition" w:tooltip="Direct link to Task definition" w:history="1">
        <w:r w:rsidRPr="00AA3C26">
          <w:rPr>
            <w:rFonts w:ascii="var(--ifm-heading-font-family)" w:eastAsia="Times New Roman" w:hAnsi="var(--ifm-heading-font-family)" w:cs="Times New Roman"/>
            <w:b/>
            <w:bCs/>
            <w:color w:val="0000FF"/>
            <w:sz w:val="36"/>
            <w:szCs w:val="36"/>
            <w:u w:val="single"/>
            <w:lang w:val="en-US" w:eastAsia="ru-RU"/>
          </w:rPr>
          <w:t>​</w:t>
        </w:r>
      </w:hyperlink>
    </w:p>
    <w:p w14:paraId="12B64629" w14:textId="77777777" w:rsidR="00AA3C26" w:rsidRPr="00AA3C26" w:rsidRDefault="00AA3C26" w:rsidP="00AA3C26">
      <w:p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A service task must have a </w:t>
      </w:r>
      <w:proofErr w:type="spellStart"/>
      <w:r w:rsidRPr="00AA3C26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taskDefinition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. The </w:t>
      </w:r>
      <w:proofErr w:type="spellStart"/>
      <w:r w:rsidRPr="00AA3C26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taskDefinition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is used to specify which </w:t>
      </w:r>
      <w:hyperlink r:id="rId14" w:history="1">
        <w:r w:rsidRPr="00AA3C26">
          <w:rPr>
            <w:rFonts w:ascii="IBM Plex Sans" w:eastAsia="Times New Roman" w:hAnsi="IBM Plex Sans" w:cs="Times New Roman"/>
            <w:color w:val="0000FF"/>
            <w:sz w:val="24"/>
            <w:szCs w:val="24"/>
            <w:u w:val="single"/>
            <w:lang w:val="en-US" w:eastAsia="ru-RU"/>
          </w:rPr>
          <w:t>job workers</w:t>
        </w:r>
      </w:hyperlink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handle the service task work.</w:t>
      </w:r>
    </w:p>
    <w:p w14:paraId="75AE5ABF" w14:textId="77777777" w:rsidR="00AA3C26" w:rsidRPr="00AA3C26" w:rsidRDefault="00AA3C26" w:rsidP="00AA3C26">
      <w:p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A </w:t>
      </w:r>
      <w:proofErr w:type="spellStart"/>
      <w:r w:rsidRPr="00AA3C26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taskDefinition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specifies the following properties:</w:t>
      </w:r>
    </w:p>
    <w:p w14:paraId="3CDC5902" w14:textId="77777777" w:rsidR="00AA3C26" w:rsidRPr="00AA3C26" w:rsidRDefault="00AA3C26" w:rsidP="00AA3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</w:pPr>
      <w:r w:rsidRPr="00AA3C2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type</w:t>
      </w:r>
      <w:r w:rsidRPr="00AA3C26">
        <w:rPr>
          <w:rFonts w:ascii="IBM Plex Sans" w:eastAsia="Times New Roman" w:hAnsi="IBM Plex Sans" w:cs="Times New Roman"/>
          <w:color w:val="1C1E21"/>
          <w:sz w:val="40"/>
          <w:szCs w:val="40"/>
          <w:lang w:val="en-US" w:eastAsia="ru-RU"/>
        </w:rPr>
        <w:t> </w:t>
      </w: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(required): Used as reference to specify which job workers request the respective service task job. </w:t>
      </w: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  <w:t xml:space="preserve">For </w:t>
      </w:r>
      <w:proofErr w:type="spellStart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  <w:t>example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  <w:t>, </w:t>
      </w:r>
      <w:proofErr w:type="spellStart"/>
      <w:r w:rsidRPr="00AA3C26">
        <w:rPr>
          <w:rFonts w:ascii="Courier New" w:eastAsia="Times New Roman" w:hAnsi="Courier New" w:cs="Courier New"/>
          <w:color w:val="1C1E21"/>
          <w:sz w:val="20"/>
          <w:szCs w:val="20"/>
          <w:lang w:eastAsia="ru-RU"/>
        </w:rPr>
        <w:t>order-items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  <w:t>.</w:t>
      </w:r>
    </w:p>
    <w:p w14:paraId="6C4F72DF" w14:textId="77777777" w:rsidR="00AA3C26" w:rsidRPr="00AA3C26" w:rsidRDefault="00AA3C26" w:rsidP="00AA3C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AA3C26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type</w:t>
      </w: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can be specified as any </w:t>
      </w:r>
      <w:hyperlink r:id="rId15" w:anchor="expressions-vs-static-values" w:history="1">
        <w:r w:rsidRPr="00AA3C26">
          <w:rPr>
            <w:rFonts w:ascii="IBM Plex Sans" w:eastAsia="Times New Roman" w:hAnsi="IBM Plex Sans" w:cs="Times New Roman"/>
            <w:color w:val="0000FF"/>
            <w:sz w:val="24"/>
            <w:szCs w:val="24"/>
            <w:u w:val="single"/>
            <w:lang w:val="en-US" w:eastAsia="ru-RU"/>
          </w:rPr>
          <w:t>static value</w:t>
        </w:r>
      </w:hyperlink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(</w:t>
      </w:r>
      <w:proofErr w:type="spellStart"/>
      <w:r w:rsidRPr="00AA3C26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myType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) or as a FEEL </w:t>
      </w:r>
      <w:hyperlink r:id="rId16" w:history="1">
        <w:r w:rsidRPr="00AA3C26">
          <w:rPr>
            <w:rFonts w:ascii="IBM Plex Sans" w:eastAsia="Times New Roman" w:hAnsi="IBM Plex Sans" w:cs="Times New Roman"/>
            <w:color w:val="0000FF"/>
            <w:sz w:val="24"/>
            <w:szCs w:val="24"/>
            <w:u w:val="single"/>
            <w:lang w:val="en-US" w:eastAsia="ru-RU"/>
          </w:rPr>
          <w:t>expression</w:t>
        </w:r>
      </w:hyperlink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prefixed by </w:t>
      </w:r>
      <w:r w:rsidRPr="00AA3C26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=</w:t>
      </w: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that evaluates to any FEEL string; for example, </w:t>
      </w:r>
      <w:r w:rsidRPr="00AA3C26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 xml:space="preserve">= "order-" + </w:t>
      </w:r>
      <w:proofErr w:type="spellStart"/>
      <w:r w:rsidRPr="00AA3C26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priorityGroup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.</w:t>
      </w:r>
    </w:p>
    <w:p w14:paraId="3EF6CA5A" w14:textId="77777777" w:rsidR="00AA3C26" w:rsidRPr="00AA3C26" w:rsidRDefault="00AA3C26" w:rsidP="00AA3C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</w:pPr>
      <w:r w:rsidRPr="00AA3C2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retries</w:t>
      </w:r>
      <w:r w:rsidRPr="00AA3C26">
        <w:rPr>
          <w:rFonts w:ascii="IBM Plex Sans" w:eastAsia="Times New Roman" w:hAnsi="IBM Plex Sans" w:cs="Times New Roman"/>
          <w:color w:val="1C1E21"/>
          <w:sz w:val="40"/>
          <w:szCs w:val="40"/>
          <w:lang w:val="en-US" w:eastAsia="ru-RU"/>
        </w:rPr>
        <w:t> </w:t>
      </w: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(optional): Specifies the number of times the job is retried when a worker signals failure. </w:t>
      </w: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  <w:t xml:space="preserve">The </w:t>
      </w:r>
      <w:proofErr w:type="spellStart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  <w:t>default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  <w:t xml:space="preserve"> </w:t>
      </w:r>
      <w:proofErr w:type="spellStart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  <w:t>is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  <w:t xml:space="preserve"> </w:t>
      </w:r>
      <w:proofErr w:type="spellStart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  <w:t>three</w:t>
      </w:r>
      <w:proofErr w:type="spellEnd"/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eastAsia="ru-RU"/>
        </w:rPr>
        <w:t>.</w:t>
      </w:r>
    </w:p>
    <w:p w14:paraId="1CBDA38F" w14:textId="77777777" w:rsidR="00AA3C26" w:rsidRPr="00AA3C26" w:rsidRDefault="00AA3C26" w:rsidP="00AA3C26">
      <w:p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The expressions are evaluated on activating the service task and must result in a </w:t>
      </w:r>
      <w:r w:rsidRPr="00AA3C26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string</w:t>
      </w: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for the job type and a </w:t>
      </w:r>
      <w:r w:rsidRPr="00AA3C26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number</w:t>
      </w:r>
      <w:r w:rsidRPr="00AA3C26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for the retries.</w:t>
      </w:r>
    </w:p>
    <w:p w14:paraId="5A3B32DF" w14:textId="7C8847AF" w:rsidR="00AA3C26" w:rsidRPr="008A0C7F" w:rsidRDefault="008A0C7F" w:rsidP="008A0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</w:pPr>
      <w:proofErr w:type="spellStart"/>
      <w:r w:rsidRPr="008A0C7F">
        <w:rPr>
          <w:rFonts w:eastAsia="Times New Roman"/>
          <w:sz w:val="32"/>
          <w:szCs w:val="32"/>
          <w:lang w:val="en-US" w:eastAsia="ru-RU"/>
        </w:rPr>
        <w:t>taskHeaders</w:t>
      </w:r>
      <w:proofErr w:type="spellEnd"/>
      <w:r w:rsidRPr="008A0C7F">
        <w:rPr>
          <w:rFonts w:ascii="Courier New" w:eastAsia="Times New Roman" w:hAnsi="Courier New" w:cs="Courier New"/>
          <w:color w:val="1C1E21"/>
          <w:sz w:val="24"/>
          <w:szCs w:val="24"/>
          <w:lang w:val="en-US" w:eastAsia="ru-RU"/>
        </w:rPr>
        <w:t>; they are static metadata handed to workers along with the job. The headers can be used as configuration parameters for the worker.</w:t>
      </w:r>
    </w:p>
    <w:p w14:paraId="1332FD49" w14:textId="7304F54B" w:rsidR="008A0C7F" w:rsidRDefault="008A0C7F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</w:p>
    <w:p w14:paraId="5919D3D5" w14:textId="1E8969F9" w:rsidR="002F252B" w:rsidRPr="00AA3C26" w:rsidRDefault="00BD1CDD" w:rsidP="002F252B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</w:pPr>
      <w:r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  <w:t>User task</w:t>
      </w:r>
    </w:p>
    <w:p w14:paraId="20432D11" w14:textId="05E33168" w:rsidR="002F252B" w:rsidRDefault="00BD1CDD" w:rsidP="002F252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Form</w:t>
      </w:r>
    </w:p>
    <w:p w14:paraId="2E865D46" w14:textId="4F9145B1" w:rsidR="00BD1CDD" w:rsidRDefault="00BD1CDD" w:rsidP="002F252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Assignment</w:t>
      </w:r>
    </w:p>
    <w:p w14:paraId="7669E84C" w14:textId="259CABD7" w:rsidR="00BD1CDD" w:rsidRDefault="00BD1CDD" w:rsidP="002F252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Scheduling</w:t>
      </w:r>
    </w:p>
    <w:p w14:paraId="36BB6568" w14:textId="2F4BDA5F" w:rsidR="002F252B" w:rsidRDefault="002F252B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</w:p>
    <w:p w14:paraId="01338636" w14:textId="77E0EC74" w:rsidR="00F03B3D" w:rsidRPr="00F03B3D" w:rsidRDefault="00F03B3D" w:rsidP="00F03B3D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</w:pPr>
      <w:r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  <w:t xml:space="preserve">Workers </w:t>
      </w:r>
    </w:p>
    <w:p w14:paraId="7B64BF70" w14:textId="77777777" w:rsidR="009F7FF1" w:rsidRPr="009F7FF1" w:rsidRDefault="009F7FF1" w:rsidP="009F7FF1">
      <w:pPr>
        <w:spacing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A </w:t>
      </w:r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job worker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 is a service capable of performing a particular task in a process. Each time such a task needs to </w:t>
      </w:r>
      <w:proofErr w:type="gramStart"/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be performed,</w:t>
      </w:r>
      <w:proofErr w:type="gramEnd"/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 this is represented by a </w:t>
      </w:r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job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.</w:t>
      </w:r>
    </w:p>
    <w:p w14:paraId="6311334E" w14:textId="77777777" w:rsidR="009F7FF1" w:rsidRPr="009F7FF1" w:rsidRDefault="009F7FF1" w:rsidP="009F7FF1">
      <w:p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A job has the following properties:</w:t>
      </w:r>
    </w:p>
    <w:p w14:paraId="25EA2ED9" w14:textId="05D3A003" w:rsidR="009F7FF1" w:rsidRPr="009F7FF1" w:rsidRDefault="009F7FF1" w:rsidP="009F7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Type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: </w:t>
      </w:r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defined in each task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 </w:t>
      </w:r>
      <w:r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and d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escribes the work item. The type is referenced by workers to request the jobs they are able to perform.</w:t>
      </w:r>
    </w:p>
    <w:p w14:paraId="241409CF" w14:textId="77777777" w:rsidR="009F7FF1" w:rsidRPr="009F7FF1" w:rsidRDefault="009F7FF1" w:rsidP="009F7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Custom headers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: </w:t>
      </w:r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Additional static metadata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 that is defined in the process. Custom headers are used to configure reusable job workers (</w:t>
      </w:r>
      <w:proofErr w:type="gramStart"/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e.g.</w:t>
      </w:r>
      <w:proofErr w:type="gramEnd"/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 a </w:t>
      </w:r>
      <w:r w:rsidRPr="009F7FF1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notify Slack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worker might read out the Slack channel from its header.)</w:t>
      </w:r>
    </w:p>
    <w:p w14:paraId="2FC90EE9" w14:textId="77777777" w:rsidR="009F7FF1" w:rsidRPr="009F7FF1" w:rsidRDefault="009F7FF1" w:rsidP="009F7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Key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: Unique key to identify a job. The key is used to hand in the results of a job execution, or to report failures during job execution.</w:t>
      </w:r>
    </w:p>
    <w:p w14:paraId="4F4DC9C6" w14:textId="77777777" w:rsidR="009F7FF1" w:rsidRPr="009F7FF1" w:rsidRDefault="009F7FF1" w:rsidP="009F7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Variables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: The contextual/business data of the process instance required by the worker to do its work.</w:t>
      </w:r>
    </w:p>
    <w:p w14:paraId="2FAC6854" w14:textId="77777777" w:rsidR="009F7FF1" w:rsidRPr="009F7FF1" w:rsidRDefault="009F7FF1" w:rsidP="009F7FF1">
      <w:p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On requesting jobs, the following properties can be set:</w:t>
      </w:r>
    </w:p>
    <w:p w14:paraId="042B1AE9" w14:textId="77777777" w:rsidR="009F7FF1" w:rsidRPr="009F7FF1" w:rsidRDefault="009F7FF1" w:rsidP="009F7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Worker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: The identifier of the worker used for auditing purposes.</w:t>
      </w:r>
    </w:p>
    <w:p w14:paraId="04B41F8F" w14:textId="77777777" w:rsidR="009F7FF1" w:rsidRPr="009F7FF1" w:rsidRDefault="009F7FF1" w:rsidP="009F7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Timeout</w:t>
      </w:r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: The time a job is assigned to the worker. If a job is not completed within this time, it can be reassigned by </w:t>
      </w:r>
      <w:proofErr w:type="spellStart"/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Zeebe</w:t>
      </w:r>
      <w:proofErr w:type="spellEnd"/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 to another worker.</w:t>
      </w:r>
    </w:p>
    <w:p w14:paraId="0D2B6C4C" w14:textId="77777777" w:rsidR="009F7FF1" w:rsidRPr="009F7FF1" w:rsidRDefault="009F7FF1" w:rsidP="009F7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proofErr w:type="spellStart"/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MaxJobsToActivate</w:t>
      </w:r>
      <w:proofErr w:type="spellEnd"/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: The maximum number of jobs which should be activated by this request.</w:t>
      </w:r>
    </w:p>
    <w:p w14:paraId="55E64DB0" w14:textId="77777777" w:rsidR="009F7FF1" w:rsidRPr="009F7FF1" w:rsidRDefault="009F7FF1" w:rsidP="009F7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proofErr w:type="spellStart"/>
      <w:r w:rsidRPr="009F7FF1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FetchVariables</w:t>
      </w:r>
      <w:proofErr w:type="spellEnd"/>
      <w:r w:rsidRPr="009F7FF1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: A list of required variable names. If the list is empty, all variables of the process instance are requested.</w:t>
      </w:r>
    </w:p>
    <w:p w14:paraId="4E4F8FB3" w14:textId="77777777" w:rsidR="009F7FF1" w:rsidRDefault="009F7FF1" w:rsidP="00F03B3D">
      <w:p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</w:p>
    <w:p w14:paraId="30B07C17" w14:textId="7370669D" w:rsidR="00F03B3D" w:rsidRPr="00F03B3D" w:rsidRDefault="00F03B3D" w:rsidP="00F03B3D">
      <w:p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F03B3D">
        <w:rPr>
          <w:rFonts w:ascii="IBM Plex Sans" w:eastAsia="Times New Roman" w:hAnsi="IBM Plex Sans" w:cs="Times New Roman"/>
          <w:b/>
          <w:bCs/>
          <w:color w:val="1C1E21"/>
          <w:sz w:val="24"/>
          <w:szCs w:val="24"/>
          <w:lang w:val="en-US" w:eastAsia="ru-RU"/>
        </w:rPr>
        <w:t>After working</w:t>
      </w:r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 on an activated job, a job worker informs Camunda that the job has either </w:t>
      </w:r>
      <w:r w:rsidRPr="00F03B3D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completed</w:t>
      </w:r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or </w:t>
      </w:r>
      <w:r w:rsidRPr="00F03B3D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failed</w:t>
      </w:r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.</w:t>
      </w:r>
    </w:p>
    <w:p w14:paraId="7D955A37" w14:textId="77777777" w:rsidR="00F03B3D" w:rsidRPr="00F03B3D" w:rsidRDefault="00F03B3D" w:rsidP="00F03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When the job worker completes its work, it sends a </w:t>
      </w:r>
      <w:r w:rsidRPr="00F03B3D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complete job</w:t>
      </w:r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command along with any variables, which in turn is merged into the process instance. This is how the job worker exposes the results of its work.</w:t>
      </w:r>
    </w:p>
    <w:p w14:paraId="65B2EFD8" w14:textId="77777777" w:rsidR="00F03B3D" w:rsidRPr="00F03B3D" w:rsidRDefault="00F03B3D" w:rsidP="00F03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If the job worker </w:t>
      </w:r>
      <w:proofErr w:type="spellStart"/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can not</w:t>
      </w:r>
      <w:proofErr w:type="spellEnd"/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 xml:space="preserve"> successfully complete its work, it sends a </w:t>
      </w:r>
      <w:proofErr w:type="gramStart"/>
      <w:r w:rsidRPr="00F03B3D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fail</w:t>
      </w:r>
      <w:proofErr w:type="gramEnd"/>
      <w:r w:rsidRPr="00F03B3D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 xml:space="preserve"> job</w:t>
      </w:r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command. Fail job commands include the number of remaining retries, which is set by the job worker.</w:t>
      </w:r>
    </w:p>
    <w:p w14:paraId="1CA81D71" w14:textId="77777777" w:rsidR="00F03B3D" w:rsidRPr="00F03B3D" w:rsidRDefault="00F03B3D" w:rsidP="00F03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If </w:t>
      </w:r>
      <w:r w:rsidRPr="00F03B3D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remaining retries</w:t>
      </w:r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is greater than zero, the job is retried and reassigned.</w:t>
      </w:r>
    </w:p>
    <w:p w14:paraId="787E4812" w14:textId="77777777" w:rsidR="00F03B3D" w:rsidRPr="00F03B3D" w:rsidRDefault="00F03B3D" w:rsidP="00F03B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</w:pPr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If </w:t>
      </w:r>
      <w:r w:rsidRPr="00F03B3D">
        <w:rPr>
          <w:rFonts w:ascii="Courier New" w:eastAsia="Times New Roman" w:hAnsi="Courier New" w:cs="Courier New"/>
          <w:color w:val="1C1E21"/>
          <w:sz w:val="20"/>
          <w:szCs w:val="20"/>
          <w:lang w:val="en-US" w:eastAsia="ru-RU"/>
        </w:rPr>
        <w:t>remaining retries</w:t>
      </w:r>
      <w:r w:rsidRPr="00F03B3D">
        <w:rPr>
          <w:rFonts w:ascii="IBM Plex Sans" w:eastAsia="Times New Roman" w:hAnsi="IBM Plex Sans" w:cs="Times New Roman"/>
          <w:color w:val="1C1E21"/>
          <w:sz w:val="24"/>
          <w:szCs w:val="24"/>
          <w:lang w:val="en-US" w:eastAsia="ru-RU"/>
        </w:rPr>
        <w:t> is zero or negative, an incident is raised and the job is not retried until the incident is resolved.</w:t>
      </w:r>
    </w:p>
    <w:p w14:paraId="0C054DD3" w14:textId="600A8C04" w:rsidR="002F252B" w:rsidRDefault="002F252B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</w:p>
    <w:p w14:paraId="0FAA5F68" w14:textId="472CD8C0" w:rsidR="00F03B3D" w:rsidRDefault="00F03B3D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</w:p>
    <w:p w14:paraId="1E841797" w14:textId="26A4A98D" w:rsidR="00B46851" w:rsidRDefault="00B46851">
      <w:pPr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br w:type="page"/>
      </w:r>
    </w:p>
    <w:p w14:paraId="160951FA" w14:textId="5BBEF3AF" w:rsidR="00B46851" w:rsidRPr="00B46851" w:rsidRDefault="00B46851" w:rsidP="00B46851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</w:pPr>
      <w:r w:rsidRPr="00B46851"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  <w:lastRenderedPageBreak/>
        <w:t>Connectors</w:t>
      </w:r>
    </w:p>
    <w:p w14:paraId="792E2781" w14:textId="1AD0E802" w:rsidR="00B46851" w:rsidRDefault="0091082B" w:rsidP="008A0C7F">
      <w:pPr>
        <w:spacing w:before="100" w:beforeAutospacing="1" w:after="100" w:afterAutospacing="1" w:line="240" w:lineRule="auto"/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</w:pPr>
      <w:r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  <w:t>Connectors vs workers</w:t>
      </w:r>
    </w:p>
    <w:p w14:paraId="5B6147C0" w14:textId="5B1E8064" w:rsidR="0091082B" w:rsidRPr="0091082B" w:rsidRDefault="0091082B" w:rsidP="0091082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91082B">
        <w:rPr>
          <w:rFonts w:ascii="Courier New" w:eastAsia="Times New Roman" w:hAnsi="Courier New" w:cs="Courier New"/>
          <w:sz w:val="32"/>
          <w:szCs w:val="32"/>
          <w:lang w:val="en-US" w:eastAsia="ru-RU"/>
        </w:rPr>
        <w:t>Connector itself is environment-agnostic. There is a runtime environment for Camunda 8 SaaS that can wrap and call this Connector.</w:t>
      </w:r>
    </w:p>
    <w:p w14:paraId="3C3074D0" w14:textId="11D885FF" w:rsidR="0091082B" w:rsidRDefault="0091082B" w:rsidP="0091082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91082B">
        <w:rPr>
          <w:rFonts w:ascii="Courier New" w:eastAsia="Times New Roman" w:hAnsi="Courier New" w:cs="Courier New"/>
          <w:sz w:val="32"/>
          <w:szCs w:val="32"/>
          <w:lang w:val="en-US" w:eastAsia="ru-RU"/>
        </w:rPr>
        <w:t>A Connector only consists of core business functionality. No environment tasks, no Camunda 8 job worker-related code. The Connector only needs input variables and access to secrets so they can be used in defined input attributes.</w:t>
      </w:r>
      <w:r w:rsidRPr="0091082B">
        <w:rPr>
          <w:rFonts w:ascii="Courier New" w:eastAsia="Times New Roman" w:hAnsi="Courier New" w:cs="Courier New"/>
          <w:sz w:val="32"/>
          <w:szCs w:val="32"/>
          <w:lang w:val="en-US" w:eastAsia="ru-RU"/>
        </w:rPr>
        <w:br/>
        <w:t xml:space="preserve">Workers are complete </w:t>
      </w:r>
      <w:proofErr w:type="spellStart"/>
      <w:r w:rsidRPr="0091082B">
        <w:rPr>
          <w:rFonts w:ascii="Courier New" w:eastAsia="Times New Roman" w:hAnsi="Courier New" w:cs="Courier New"/>
          <w:sz w:val="32"/>
          <w:szCs w:val="32"/>
          <w:lang w:val="en-US" w:eastAsia="ru-RU"/>
        </w:rPr>
        <w:t>Zeebe</w:t>
      </w:r>
      <w:proofErr w:type="spellEnd"/>
      <w:r w:rsidRPr="0091082B">
        <w:rPr>
          <w:rFonts w:ascii="Courier New" w:eastAsia="Times New Roman" w:hAnsi="Courier New" w:cs="Courier New"/>
          <w:sz w:val="32"/>
          <w:szCs w:val="32"/>
          <w:lang w:val="en-US" w:eastAsia="ru-RU"/>
        </w:rPr>
        <w:t xml:space="preserve"> applications</w:t>
      </w:r>
    </w:p>
    <w:p w14:paraId="3A994E98" w14:textId="3C834C08" w:rsidR="00F62744" w:rsidRDefault="00F62744" w:rsidP="0091082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sz w:val="32"/>
          <w:szCs w:val="32"/>
          <w:lang w:val="en-US" w:eastAsia="ru-RU"/>
        </w:rPr>
        <w:t>Context</w:t>
      </w:r>
    </w:p>
    <w:p w14:paraId="5102C59C" w14:textId="6C612D4F" w:rsidR="00F62744" w:rsidRPr="00F62744" w:rsidRDefault="00F62744" w:rsidP="00F6274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sz w:val="32"/>
          <w:szCs w:val="32"/>
          <w:lang w:val="en-US" w:eastAsia="ru-RU"/>
        </w:rPr>
      </w:pPr>
      <w:r w:rsidRPr="00F62744">
        <w:rPr>
          <w:rFonts w:ascii="Courier New" w:eastAsia="Times New Roman" w:hAnsi="Courier New" w:cs="Courier New"/>
          <w:b/>
          <w:bCs/>
          <w:sz w:val="32"/>
          <w:szCs w:val="32"/>
          <w:lang w:val="en-US" w:eastAsia="ru-RU"/>
        </w:rPr>
        <w:t>Which one should you choose?</w:t>
      </w:r>
    </w:p>
    <w:p w14:paraId="7263DE64" w14:textId="77777777" w:rsidR="00F62744" w:rsidRPr="00F62744" w:rsidRDefault="00F62744" w:rsidP="00F627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F62744">
        <w:rPr>
          <w:rFonts w:ascii="Courier New" w:eastAsia="Times New Roman" w:hAnsi="Courier New" w:cs="Courier New"/>
          <w:sz w:val="32"/>
          <w:szCs w:val="32"/>
          <w:lang w:val="en-US" w:eastAsia="ru-RU"/>
        </w:rPr>
        <w:t>Need access to a low-level API in Camunda 8 to perform a very specific task? You are better off with job workers.</w:t>
      </w:r>
    </w:p>
    <w:p w14:paraId="7C5791AB" w14:textId="77777777" w:rsidR="00F62744" w:rsidRPr="00F62744" w:rsidRDefault="00F62744" w:rsidP="00F627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F62744">
        <w:rPr>
          <w:rFonts w:ascii="Courier New" w:eastAsia="Times New Roman" w:hAnsi="Courier New" w:cs="Courier New"/>
          <w:sz w:val="32"/>
          <w:szCs w:val="32"/>
          <w:lang w:val="en-US" w:eastAsia="ru-RU"/>
        </w:rPr>
        <w:t>Want to write your worker logic in something other than Java? Job workers are your way to move forward.</w:t>
      </w:r>
    </w:p>
    <w:p w14:paraId="467C4A54" w14:textId="77777777" w:rsidR="00F62744" w:rsidRPr="00F62744" w:rsidRDefault="00F62744" w:rsidP="00F627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F62744">
        <w:rPr>
          <w:rFonts w:ascii="Courier New" w:eastAsia="Times New Roman" w:hAnsi="Courier New" w:cs="Courier New"/>
          <w:sz w:val="32"/>
          <w:szCs w:val="32"/>
          <w:lang w:val="en-US" w:eastAsia="ru-RU"/>
        </w:rPr>
        <w:t>Want to create worker logic that is reusable in any environment? Write a Connector.</w:t>
      </w:r>
    </w:p>
    <w:p w14:paraId="293C4013" w14:textId="77777777" w:rsidR="00F62744" w:rsidRPr="00F62744" w:rsidRDefault="00F62744" w:rsidP="00F627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F62744">
        <w:rPr>
          <w:rFonts w:ascii="Courier New" w:eastAsia="Times New Roman" w:hAnsi="Courier New" w:cs="Courier New"/>
          <w:sz w:val="32"/>
          <w:szCs w:val="32"/>
          <w:lang w:val="en-US" w:eastAsia="ru-RU"/>
        </w:rPr>
        <w:t>Want to focus on your worker's logic and have no need for using low-level Camunda 8 API? Write a Connector.</w:t>
      </w:r>
    </w:p>
    <w:p w14:paraId="06441572" w14:textId="0772DE4A" w:rsidR="00F62744" w:rsidRPr="00F62744" w:rsidRDefault="00F62744" w:rsidP="00F6274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r w:rsidRPr="00F62744">
        <w:rPr>
          <w:rFonts w:ascii="Courier New" w:eastAsia="Times New Roman" w:hAnsi="Courier New" w:cs="Courier New"/>
          <w:sz w:val="32"/>
          <w:szCs w:val="32"/>
          <w:lang w:val="en-US" w:eastAsia="ru-RU"/>
        </w:rPr>
        <w:t>Want to provide a standardized modeling experience alongside your runtime behavior? Write a Connector.</w:t>
      </w:r>
    </w:p>
    <w:p w14:paraId="0D82CEE4" w14:textId="60D908E5" w:rsidR="00B46851" w:rsidRDefault="0091082B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  <w:hyperlink r:id="rId17" w:history="1">
        <w:r w:rsidRPr="00465274">
          <w:rPr>
            <w:rStyle w:val="Hyperlink"/>
            <w:rFonts w:ascii="Courier New" w:eastAsia="Times New Roman" w:hAnsi="Courier New" w:cs="Courier New"/>
            <w:sz w:val="32"/>
            <w:szCs w:val="32"/>
            <w:lang w:val="en-US" w:eastAsia="ru-RU"/>
          </w:rPr>
          <w:t>https://docs.camunda.io/docs/components/concepts/outbound-connectors-job-workers/#:~:text=Instead%2C%20a%20Connector%20is%20delivered,executed%20to%20work%20on%20jobs</w:t>
        </w:r>
      </w:hyperlink>
      <w:r w:rsidRPr="0091082B">
        <w:rPr>
          <w:rFonts w:ascii="Courier New" w:eastAsia="Times New Roman" w:hAnsi="Courier New" w:cs="Courier New"/>
          <w:sz w:val="32"/>
          <w:szCs w:val="32"/>
          <w:lang w:val="en-US" w:eastAsia="ru-RU"/>
        </w:rPr>
        <w:t>.</w:t>
      </w:r>
    </w:p>
    <w:p w14:paraId="2C536588" w14:textId="77777777" w:rsidR="0091082B" w:rsidRDefault="0091082B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</w:p>
    <w:p w14:paraId="5D9E8D6E" w14:textId="77777777" w:rsidR="00B46851" w:rsidRDefault="00B46851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  <w:lang w:val="en-US" w:eastAsia="ru-RU"/>
        </w:rPr>
      </w:pPr>
    </w:p>
    <w:p w14:paraId="200D19E8" w14:textId="23158C86" w:rsidR="008A0C7F" w:rsidRPr="00AA3C26" w:rsidRDefault="008A0C7F" w:rsidP="008A0C7F">
      <w:pPr>
        <w:spacing w:before="100" w:beforeAutospacing="1" w:after="100" w:afterAutospacing="1" w:line="240" w:lineRule="auto"/>
        <w:outlineLvl w:val="1"/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</w:pPr>
      <w:r>
        <w:rPr>
          <w:rFonts w:ascii="var(--ifm-heading-font-family)" w:eastAsia="Times New Roman" w:hAnsi="var(--ifm-heading-font-family)" w:cs="Times New Roman"/>
          <w:b/>
          <w:bCs/>
          <w:color w:val="1C1E21"/>
          <w:sz w:val="36"/>
          <w:szCs w:val="36"/>
          <w:lang w:val="en-US" w:eastAsia="ru-RU"/>
        </w:rPr>
        <w:t>Custom connectors</w:t>
      </w:r>
      <w:hyperlink r:id="rId18" w:anchor="task-definition" w:tooltip="Direct link to Task definition" w:history="1">
        <w:r w:rsidRPr="00AA3C26">
          <w:rPr>
            <w:rFonts w:ascii="var(--ifm-heading-font-family)" w:eastAsia="Times New Roman" w:hAnsi="var(--ifm-heading-font-family)" w:cs="Times New Roman"/>
            <w:b/>
            <w:bCs/>
            <w:color w:val="0000FF"/>
            <w:sz w:val="36"/>
            <w:szCs w:val="36"/>
            <w:u w:val="single"/>
            <w:lang w:val="en-US" w:eastAsia="ru-RU"/>
          </w:rPr>
          <w:t>​</w:t>
        </w:r>
      </w:hyperlink>
    </w:p>
    <w:p w14:paraId="7364BAEC" w14:textId="4E13A5D3" w:rsidR="008A0C7F" w:rsidRDefault="008A0C7F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lastRenderedPageBreak/>
        <w:t>Inbound / outbound</w:t>
      </w:r>
    </w:p>
    <w:p w14:paraId="62CD787A" w14:textId="0C69E25E" w:rsidR="008A0C7F" w:rsidRDefault="008A0C7F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Created as separate projects</w:t>
      </w:r>
    </w:p>
    <w:p w14:paraId="551DEFD6" w14:textId="5348C2E7" w:rsidR="008A0C7F" w:rsidRDefault="008A0C7F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</w:pPr>
      <w:r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Template + logic</w:t>
      </w:r>
    </w:p>
    <w:p w14:paraId="2969F8F4" w14:textId="618064BB" w:rsidR="008A0C7F" w:rsidRDefault="008A0C7F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</w:pPr>
    </w:p>
    <w:p w14:paraId="6EF02510" w14:textId="77777777" w:rsidR="009F7FF1" w:rsidRPr="00112916" w:rsidRDefault="009F7FF1" w:rsidP="009F7FF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</w:pPr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Camunda</w:t>
      </w:r>
    </w:p>
    <w:p w14:paraId="0DCAD1EC" w14:textId="77777777" w:rsidR="009F7FF1" w:rsidRPr="00112916" w:rsidRDefault="009F7FF1" w:rsidP="009F7FF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</w:pPr>
      <w:r w:rsidRPr="0011291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ab/>
      </w:r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h</w:t>
      </w:r>
      <w:r w:rsidRPr="0011291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 xml:space="preserve">2 </w:t>
      </w:r>
      <w:proofErr w:type="spellStart"/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db</w:t>
      </w:r>
      <w:proofErr w:type="spellEnd"/>
      <w:r w:rsidRPr="0011291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 xml:space="preserve"> </w:t>
      </w:r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engine</w:t>
      </w:r>
      <w:r w:rsidRPr="0011291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 xml:space="preserve"> - </w:t>
      </w:r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  <w:t>поэтому</w:t>
      </w:r>
      <w:r w:rsidRPr="0011291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 xml:space="preserve"> </w:t>
      </w:r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  <w:t>быстрая</w:t>
      </w:r>
      <w:r w:rsidRPr="0011291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 xml:space="preserve">, </w:t>
      </w:r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  <w:t>есть</w:t>
      </w:r>
      <w:r w:rsidRPr="0011291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 xml:space="preserve"> </w:t>
      </w:r>
      <w:proofErr w:type="spellStart"/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  <w:t>многопоточка</w:t>
      </w:r>
      <w:proofErr w:type="spellEnd"/>
      <w:r w:rsidRPr="0011291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 xml:space="preserve">, </w:t>
      </w:r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  <w:t>легкая</w:t>
      </w:r>
      <w:r w:rsidRPr="0011291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 xml:space="preserve"> (2.5 </w:t>
      </w:r>
      <w:proofErr w:type="spellStart"/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  <w:t>мб</w:t>
      </w:r>
      <w:proofErr w:type="spellEnd"/>
      <w:r w:rsidRPr="00112916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)</w:t>
      </w:r>
    </w:p>
    <w:p w14:paraId="38E40EFF" w14:textId="77777777" w:rsidR="009F7FF1" w:rsidRPr="00112916" w:rsidRDefault="009F7FF1" w:rsidP="009F7FF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</w:pPr>
    </w:p>
    <w:p w14:paraId="20201253" w14:textId="77777777" w:rsidR="009F7FF1" w:rsidRPr="009F7FF1" w:rsidRDefault="009F7FF1" w:rsidP="009F7FF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</w:pPr>
      <w:proofErr w:type="spellStart"/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Zeebe</w:t>
      </w:r>
      <w:proofErr w:type="spellEnd"/>
    </w:p>
    <w:p w14:paraId="096BAAC9" w14:textId="77777777" w:rsidR="009F7FF1" w:rsidRPr="009F7FF1" w:rsidRDefault="009F7FF1" w:rsidP="009F7FF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</w:pPr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  <w:tab/>
      </w:r>
      <w:proofErr w:type="spellStart"/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val="en-US" w:eastAsia="ru-RU"/>
        </w:rPr>
        <w:t>rockdb</w:t>
      </w:r>
      <w:proofErr w:type="spellEnd"/>
      <w:r w:rsidRPr="009F7FF1"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  <w:t xml:space="preserve"> Под капотом (распределенная). Повышает мощность за счет увеличения инстансов</w:t>
      </w:r>
    </w:p>
    <w:p w14:paraId="15A54DB3" w14:textId="72E4E923" w:rsidR="008A0C7F" w:rsidRDefault="008A0C7F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</w:pPr>
    </w:p>
    <w:p w14:paraId="52D0EBDC" w14:textId="33F53269" w:rsidR="003A15FE" w:rsidRDefault="003A15FE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</w:pPr>
    </w:p>
    <w:p w14:paraId="609BB7AA" w14:textId="4C4F7E59" w:rsidR="003A15FE" w:rsidRPr="009F7FF1" w:rsidRDefault="003A15FE" w:rsidP="008A0C7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</w:pPr>
      <w:r w:rsidRPr="003A15FE">
        <w:rPr>
          <w:rFonts w:ascii="Courier New" w:eastAsia="Times New Roman" w:hAnsi="Courier New" w:cs="Courier New"/>
          <w:color w:val="1C1E21"/>
          <w:sz w:val="32"/>
          <w:szCs w:val="32"/>
          <w:lang w:eastAsia="ru-RU"/>
        </w:rPr>
        <w:drawing>
          <wp:inline distT="0" distB="0" distL="0" distR="0" wp14:anchorId="20AF09F4" wp14:editId="761DA583">
            <wp:extent cx="2495898" cy="3639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5FE" w:rsidRPr="009F7FF1" w:rsidSect="004249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00EDC"/>
    <w:multiLevelType w:val="hybridMultilevel"/>
    <w:tmpl w:val="611C0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3C29"/>
    <w:multiLevelType w:val="multilevel"/>
    <w:tmpl w:val="534A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67A73"/>
    <w:multiLevelType w:val="hybridMultilevel"/>
    <w:tmpl w:val="D5560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13B5F"/>
    <w:multiLevelType w:val="multilevel"/>
    <w:tmpl w:val="EC30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B183A"/>
    <w:multiLevelType w:val="multilevel"/>
    <w:tmpl w:val="5C3C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F29A2"/>
    <w:multiLevelType w:val="multilevel"/>
    <w:tmpl w:val="E9F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D1"/>
    <w:rsid w:val="00051721"/>
    <w:rsid w:val="00112916"/>
    <w:rsid w:val="00124406"/>
    <w:rsid w:val="002F252B"/>
    <w:rsid w:val="0035551B"/>
    <w:rsid w:val="003A15FE"/>
    <w:rsid w:val="003B40D3"/>
    <w:rsid w:val="004249D1"/>
    <w:rsid w:val="004B44D8"/>
    <w:rsid w:val="00743A2F"/>
    <w:rsid w:val="007D4D5E"/>
    <w:rsid w:val="008A0C7F"/>
    <w:rsid w:val="0091082B"/>
    <w:rsid w:val="009F7FF1"/>
    <w:rsid w:val="00A2649B"/>
    <w:rsid w:val="00AA3C26"/>
    <w:rsid w:val="00AC78F4"/>
    <w:rsid w:val="00B46851"/>
    <w:rsid w:val="00BD1CDD"/>
    <w:rsid w:val="00D904A1"/>
    <w:rsid w:val="00F03B3D"/>
    <w:rsid w:val="00F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D0E2"/>
  <w15:chartTrackingRefBased/>
  <w15:docId w15:val="{C86B3FFA-9310-4C3D-922C-B1018DF1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2B"/>
  </w:style>
  <w:style w:type="paragraph" w:styleId="Heading1">
    <w:name w:val="heading 1"/>
    <w:basedOn w:val="Normal"/>
    <w:link w:val="Heading1Char"/>
    <w:uiPriority w:val="9"/>
    <w:qFormat/>
    <w:rsid w:val="00AA3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AA3C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3B40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A3C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A3C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unhideWhenUsed/>
    <w:rsid w:val="00AA3C2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3C2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68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camunda.io/docs/components/modeler/bpmn/service-tasks/" TargetMode="External"/><Relationship Id="rId18" Type="http://schemas.openxmlformats.org/officeDocument/2006/relationships/hyperlink" Target="https://docs.camunda.io/docs/components/modeler/bpmn/service-task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ocs.camunda.io/docs/components/concepts/job-workers/" TargetMode="External"/><Relationship Id="rId17" Type="http://schemas.openxmlformats.org/officeDocument/2006/relationships/hyperlink" Target="https://docs.camunda.io/docs/components/concepts/outbound-connectors-job-workers/#:~:text=Instead%2C%20a%20Connector%20is%20delivered,executed%20to%20work%20on%20jo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amunda.io/docs/components/concepts/expression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docs.camunda.io/docs/next/components/concepts/expressions/" TargetMode="External"/><Relationship Id="rId10" Type="http://schemas.openxmlformats.org/officeDocument/2006/relationships/hyperlink" Target="https://www.omg.org/dmn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camunda.io/docs/components/concepts/job-work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8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2024-01-23T15:00:00Z</dcterms:created>
  <dcterms:modified xsi:type="dcterms:W3CDTF">2024-05-25T19:18:00Z</dcterms:modified>
</cp:coreProperties>
</file>