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D1531" w14:textId="01DE4C2F" w:rsidR="00AC1522" w:rsidRDefault="004058CB" w:rsidP="004058CB">
      <w:pPr>
        <w:pStyle w:val="a3"/>
        <w:rPr>
          <w:lang w:val="en-US"/>
        </w:rPr>
      </w:pPr>
      <w:r>
        <w:rPr>
          <w:lang w:val="en-US"/>
        </w:rPr>
        <w:t>Optimization</w:t>
      </w:r>
    </w:p>
    <w:p w14:paraId="481D5022" w14:textId="2E97EB3D" w:rsidR="004058CB" w:rsidRDefault="004058CB" w:rsidP="004058CB">
      <w:r>
        <w:t xml:space="preserve">Лучше вставлять большими кусками (10 000 -100 000 строк), т.к. на каждую операцию вставки идут </w:t>
      </w:r>
      <w:proofErr w:type="spellStart"/>
      <w:r>
        <w:t>доп</w:t>
      </w:r>
      <w:proofErr w:type="spellEnd"/>
      <w:r>
        <w:t xml:space="preserve"> метаданные. </w:t>
      </w:r>
      <w:hyperlink r:id="rId4" w:history="1">
        <w:r w:rsidRPr="005B3160">
          <w:rPr>
            <w:rStyle w:val="a5"/>
          </w:rPr>
          <w:t>https://clickhouse.com/docs/ru/guides/inserting-data?utm_source=chatgpt.com#insert-in-large-batch-sizes</w:t>
        </w:r>
      </w:hyperlink>
    </w:p>
    <w:p w14:paraId="424684A8" w14:textId="1CDB162F" w:rsidR="004058CB" w:rsidRPr="004058CB" w:rsidRDefault="004058CB" w:rsidP="001F07DC">
      <w:pPr>
        <w:pStyle w:val="a9"/>
      </w:pPr>
      <w:r>
        <w:t xml:space="preserve">Оптимизация вставок в </w:t>
      </w:r>
      <w:proofErr w:type="spellStart"/>
      <w:r>
        <w:rPr>
          <w:lang w:val="en-US"/>
        </w:rPr>
        <w:t>Clickhouse</w:t>
      </w:r>
      <w:proofErr w:type="spellEnd"/>
      <w:r w:rsidRPr="004058CB">
        <w:t xml:space="preserve"> </w:t>
      </w:r>
      <w:r>
        <w:t xml:space="preserve">через </w:t>
      </w:r>
      <w:proofErr w:type="spellStart"/>
      <w:r>
        <w:rPr>
          <w:lang w:val="en-US"/>
        </w:rPr>
        <w:t>Kaffka</w:t>
      </w:r>
      <w:proofErr w:type="spellEnd"/>
      <w:r w:rsidRPr="004058CB">
        <w:t xml:space="preserve"> </w:t>
      </w:r>
      <w:proofErr w:type="spellStart"/>
      <w:r>
        <w:rPr>
          <w:lang w:val="en-US"/>
        </w:rPr>
        <w:t>SinkConnector</w:t>
      </w:r>
      <w:proofErr w:type="spellEnd"/>
    </w:p>
    <w:p w14:paraId="45799DB8" w14:textId="52EBA590" w:rsidR="004058CB" w:rsidRDefault="004058CB" w:rsidP="004058CB">
      <w:hyperlink r:id="rId5" w:history="1">
        <w:r w:rsidRPr="005B3160">
          <w:rPr>
            <w:rStyle w:val="a5"/>
          </w:rPr>
          <w:t>https://habr.com/ru/companies/magnit/articles/926834/</w:t>
        </w:r>
      </w:hyperlink>
    </w:p>
    <w:p w14:paraId="0E5CB364" w14:textId="789A30CC" w:rsidR="004058CB" w:rsidRDefault="004058CB" w:rsidP="004058CB">
      <w:r>
        <w:t>Кратко:</w:t>
      </w:r>
    </w:p>
    <w:p w14:paraId="4FC93AED" w14:textId="77777777" w:rsidR="004058CB" w:rsidRPr="004058CB" w:rsidRDefault="004058CB" w:rsidP="004058CB">
      <w:pPr>
        <w:pStyle w:val="a7"/>
        <w:spacing w:before="180" w:beforeAutospacing="0" w:after="0" w:afterAutospacing="0"/>
        <w:rPr>
          <w:rFonts w:ascii="Arial" w:hAnsi="Arial" w:cs="Arial"/>
        </w:rPr>
      </w:pPr>
      <w:r w:rsidRPr="004058CB">
        <w:rPr>
          <w:rStyle w:val="a8"/>
          <w:rFonts w:ascii="Arial" w:hAnsi="Arial" w:cs="Arial"/>
        </w:rPr>
        <w:t xml:space="preserve">Первый этап оптимизации: настройка </w:t>
      </w:r>
      <w:proofErr w:type="spellStart"/>
      <w:r w:rsidRPr="004058CB">
        <w:rPr>
          <w:rStyle w:val="a8"/>
          <w:rFonts w:ascii="Arial" w:hAnsi="Arial" w:cs="Arial"/>
        </w:rPr>
        <w:t>fetch</w:t>
      </w:r>
      <w:proofErr w:type="spellEnd"/>
      <w:r w:rsidRPr="004058CB">
        <w:rPr>
          <w:rStyle w:val="a8"/>
          <w:rFonts w:ascii="Arial" w:hAnsi="Arial" w:cs="Arial"/>
        </w:rPr>
        <w:t xml:space="preserve"> и </w:t>
      </w:r>
      <w:proofErr w:type="spellStart"/>
      <w:r w:rsidRPr="004058CB">
        <w:rPr>
          <w:rStyle w:val="a8"/>
          <w:rFonts w:ascii="Arial" w:hAnsi="Arial" w:cs="Arial"/>
        </w:rPr>
        <w:t>poll</w:t>
      </w:r>
      <w:proofErr w:type="spellEnd"/>
      <w:r w:rsidRPr="004058CB">
        <w:rPr>
          <w:rStyle w:val="a8"/>
          <w:rFonts w:ascii="Arial" w:hAnsi="Arial" w:cs="Arial"/>
        </w:rPr>
        <w:t xml:space="preserve"> параметров</w:t>
      </w:r>
    </w:p>
    <w:p w14:paraId="75E67C5F" w14:textId="77777777" w:rsidR="004058CB" w:rsidRPr="004058CB" w:rsidRDefault="004058CB" w:rsidP="004058CB">
      <w:pPr>
        <w:pStyle w:val="a7"/>
        <w:spacing w:before="360" w:beforeAutospacing="0" w:after="0" w:afterAutospacing="0"/>
        <w:rPr>
          <w:rFonts w:ascii="Arial" w:hAnsi="Arial" w:cs="Arial"/>
        </w:rPr>
      </w:pPr>
      <w:r w:rsidRPr="004058CB">
        <w:rPr>
          <w:rFonts w:ascii="Arial" w:hAnsi="Arial" w:cs="Arial"/>
        </w:rPr>
        <w:t xml:space="preserve">Чтобы коннектор формировал крупные </w:t>
      </w:r>
      <w:proofErr w:type="spellStart"/>
      <w:r w:rsidRPr="004058CB">
        <w:rPr>
          <w:rFonts w:ascii="Arial" w:hAnsi="Arial" w:cs="Arial"/>
        </w:rPr>
        <w:t>батчи</w:t>
      </w:r>
      <w:proofErr w:type="spellEnd"/>
      <w:r w:rsidRPr="004058CB">
        <w:rPr>
          <w:rFonts w:ascii="Arial" w:hAnsi="Arial" w:cs="Arial"/>
        </w:rPr>
        <w:t xml:space="preserve">, мы скорректировали параметры потребителя </w:t>
      </w:r>
      <w:proofErr w:type="spellStart"/>
      <w:r w:rsidRPr="004058CB">
        <w:rPr>
          <w:rFonts w:ascii="Arial" w:hAnsi="Arial" w:cs="Arial"/>
        </w:rPr>
        <w:t>Kafka</w:t>
      </w:r>
      <w:proofErr w:type="spellEnd"/>
      <w:r w:rsidRPr="004058CB">
        <w:rPr>
          <w:rFonts w:ascii="Arial" w:hAnsi="Arial" w:cs="Arial"/>
        </w:rPr>
        <w:t xml:space="preserve"> (</w:t>
      </w:r>
      <w:proofErr w:type="spellStart"/>
      <w:r w:rsidRPr="004058CB">
        <w:rPr>
          <w:rFonts w:ascii="Arial" w:hAnsi="Arial" w:cs="Arial"/>
        </w:rPr>
        <w:t>Kafka</w:t>
      </w:r>
      <w:proofErr w:type="spellEnd"/>
      <w:r w:rsidRPr="004058CB">
        <w:rPr>
          <w:rFonts w:ascii="Arial" w:hAnsi="Arial" w:cs="Arial"/>
        </w:rPr>
        <w:t xml:space="preserve"> </w:t>
      </w:r>
      <w:proofErr w:type="spellStart"/>
      <w:r w:rsidRPr="004058CB">
        <w:rPr>
          <w:rFonts w:ascii="Arial" w:hAnsi="Arial" w:cs="Arial"/>
        </w:rPr>
        <w:t>Consumer</w:t>
      </w:r>
      <w:proofErr w:type="spellEnd"/>
      <w:r w:rsidRPr="004058CB">
        <w:rPr>
          <w:rFonts w:ascii="Arial" w:hAnsi="Arial" w:cs="Arial"/>
        </w:rPr>
        <w:t xml:space="preserve">), используемого </w:t>
      </w:r>
      <w:proofErr w:type="spellStart"/>
      <w:r w:rsidRPr="004058CB">
        <w:rPr>
          <w:rFonts w:ascii="Arial" w:hAnsi="Arial" w:cs="Arial"/>
        </w:rPr>
        <w:t>Sink</w:t>
      </w:r>
      <w:proofErr w:type="spellEnd"/>
      <w:r w:rsidRPr="004058CB">
        <w:rPr>
          <w:rFonts w:ascii="Arial" w:hAnsi="Arial" w:cs="Arial"/>
        </w:rPr>
        <w:t>-коннектором. Ниже в таблице приведены ключевые параметры </w:t>
      </w:r>
      <w:r w:rsidRPr="004058CB">
        <w:rPr>
          <w:rStyle w:val="a8"/>
          <w:rFonts w:ascii="Arial" w:hAnsi="Arial" w:cs="Arial"/>
        </w:rPr>
        <w:t>до</w:t>
      </w:r>
      <w:r w:rsidRPr="004058CB">
        <w:rPr>
          <w:rFonts w:ascii="Arial" w:hAnsi="Arial" w:cs="Arial"/>
        </w:rPr>
        <w:t> и </w:t>
      </w:r>
      <w:r w:rsidRPr="004058CB">
        <w:rPr>
          <w:rStyle w:val="a8"/>
          <w:rFonts w:ascii="Arial" w:hAnsi="Arial" w:cs="Arial"/>
        </w:rPr>
        <w:t>после</w:t>
      </w:r>
      <w:r w:rsidRPr="004058CB">
        <w:rPr>
          <w:rFonts w:ascii="Arial" w:hAnsi="Arial" w:cs="Arial"/>
        </w:rPr>
        <w:t> оптимизации и их роли: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557"/>
        <w:gridCol w:w="2288"/>
        <w:gridCol w:w="3170"/>
      </w:tblGrid>
      <w:tr w:rsidR="004058CB" w14:paraId="355538AA" w14:textId="77777777" w:rsidTr="004058CB">
        <w:tc>
          <w:tcPr>
            <w:tcW w:w="190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63E4665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rPr>
                <w:rStyle w:val="a8"/>
              </w:rPr>
              <w:t>Параметр</w:t>
            </w:r>
          </w:p>
        </w:tc>
        <w:tc>
          <w:tcPr>
            <w:tcW w:w="157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E1F4A29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rPr>
                <w:rStyle w:val="a8"/>
              </w:rPr>
              <w:t>Дефолтное значение</w:t>
            </w:r>
          </w:p>
        </w:tc>
        <w:tc>
          <w:tcPr>
            <w:tcW w:w="2850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16CECF2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rPr>
                <w:rStyle w:val="a8"/>
              </w:rPr>
              <w:t>Измененное значение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CAE8E3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rPr>
                <w:rStyle w:val="a8"/>
              </w:rPr>
              <w:t>Описание параметра</w:t>
            </w:r>
          </w:p>
        </w:tc>
      </w:tr>
      <w:tr w:rsidR="004058CB" w14:paraId="6633BB4B" w14:textId="77777777" w:rsidTr="004058CB">
        <w:tc>
          <w:tcPr>
            <w:tcW w:w="190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16B9053" w14:textId="77777777" w:rsidR="004058CB" w:rsidRDefault="004058CB">
            <w:pPr>
              <w:pStyle w:val="a7"/>
              <w:spacing w:before="0" w:beforeAutospacing="0" w:after="0" w:afterAutospacing="0"/>
            </w:pPr>
            <w:proofErr w:type="spellStart"/>
            <w:proofErr w:type="gramStart"/>
            <w:r>
              <w:t>fetch.min.bytes</w:t>
            </w:r>
            <w:proofErr w:type="spellEnd"/>
            <w:proofErr w:type="gramEnd"/>
          </w:p>
        </w:tc>
        <w:tc>
          <w:tcPr>
            <w:tcW w:w="157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8C8D54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t>1 байт</w:t>
            </w:r>
          </w:p>
        </w:tc>
        <w:tc>
          <w:tcPr>
            <w:tcW w:w="2850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16ACCD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t>2 621 440 байт (2,5 Мб)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5F013C9" w14:textId="551F5C4A" w:rsidR="004058CB" w:rsidRDefault="004058CB">
            <w:pPr>
              <w:pStyle w:val="a7"/>
              <w:spacing w:before="0" w:beforeAutospacing="0" w:after="0" w:afterAutospacing="0"/>
            </w:pPr>
            <w:r>
              <w:t xml:space="preserve">увеличивает размер пачки и снижает частоту обращений </w:t>
            </w:r>
          </w:p>
        </w:tc>
      </w:tr>
      <w:tr w:rsidR="004058CB" w14:paraId="14603956" w14:textId="77777777" w:rsidTr="004058CB">
        <w:tc>
          <w:tcPr>
            <w:tcW w:w="190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A50BB4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t>fetch.max.wait.ms</w:t>
            </w:r>
          </w:p>
        </w:tc>
        <w:tc>
          <w:tcPr>
            <w:tcW w:w="157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BEE1F6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t xml:space="preserve">500 </w:t>
            </w:r>
            <w:proofErr w:type="spellStart"/>
            <w:r>
              <w:t>мс</w:t>
            </w:r>
            <w:proofErr w:type="spellEnd"/>
          </w:p>
        </w:tc>
        <w:tc>
          <w:tcPr>
            <w:tcW w:w="2850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4EF97F2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t xml:space="preserve">72 000 </w:t>
            </w:r>
            <w:proofErr w:type="spellStart"/>
            <w:r>
              <w:t>мс</w:t>
            </w:r>
            <w:proofErr w:type="spellEnd"/>
            <w:r>
              <w:t xml:space="preserve"> (72 с)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6A5093C" w14:textId="62FB68F3" w:rsidR="004058CB" w:rsidRDefault="004058CB">
            <w:pPr>
              <w:pStyle w:val="a7"/>
              <w:spacing w:before="0" w:beforeAutospacing="0" w:after="0" w:afterAutospacing="0"/>
            </w:pPr>
            <w:r>
              <w:t xml:space="preserve">Максимальное время, которое брокер будет ждать, чтобы набрать пачку размера </w:t>
            </w:r>
            <w:proofErr w:type="spellStart"/>
            <w:proofErr w:type="gramStart"/>
            <w:r>
              <w:t>fetch.min.bytes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Дефоолт</w:t>
            </w:r>
            <w:proofErr w:type="spellEnd"/>
            <w:r>
              <w:t xml:space="preserve"> – 0,5 с</w:t>
            </w:r>
          </w:p>
        </w:tc>
      </w:tr>
      <w:tr w:rsidR="004058CB" w14:paraId="7A264538" w14:textId="77777777" w:rsidTr="004058CB">
        <w:tc>
          <w:tcPr>
            <w:tcW w:w="190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A84595B" w14:textId="77777777" w:rsidR="004058CB" w:rsidRDefault="004058CB">
            <w:pPr>
              <w:pStyle w:val="a7"/>
              <w:spacing w:before="0" w:beforeAutospacing="0" w:after="0" w:afterAutospacing="0"/>
            </w:pPr>
            <w:proofErr w:type="spellStart"/>
            <w:proofErr w:type="gramStart"/>
            <w:r>
              <w:t>max.poll</w:t>
            </w:r>
            <w:proofErr w:type="gramEnd"/>
            <w:r>
              <w:t>.records</w:t>
            </w:r>
            <w:proofErr w:type="spellEnd"/>
          </w:p>
        </w:tc>
        <w:tc>
          <w:tcPr>
            <w:tcW w:w="157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264CBFA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t>500 сообщений</w:t>
            </w:r>
          </w:p>
        </w:tc>
        <w:tc>
          <w:tcPr>
            <w:tcW w:w="2850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FF22071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t>50 000 сообщений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D37B1A" w14:textId="61F62D15" w:rsidR="004058CB" w:rsidRDefault="004058CB">
            <w:pPr>
              <w:pStyle w:val="a7"/>
              <w:spacing w:before="0" w:beforeAutospacing="0" w:after="0" w:afterAutospacing="0"/>
            </w:pPr>
            <w:r>
              <w:t xml:space="preserve">Максимальное число сообщений, возвращаемых за один вызов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 xml:space="preserve">). По умолчанию 500, мы увеличили до 50 000, </w:t>
            </w:r>
          </w:p>
        </w:tc>
      </w:tr>
      <w:tr w:rsidR="004058CB" w14:paraId="363D1244" w14:textId="77777777" w:rsidTr="004058CB">
        <w:tc>
          <w:tcPr>
            <w:tcW w:w="190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3A7F10" w14:textId="77777777" w:rsidR="004058CB" w:rsidRDefault="004058CB">
            <w:pPr>
              <w:pStyle w:val="a7"/>
              <w:spacing w:before="0" w:beforeAutospacing="0" w:after="0" w:afterAutospacing="0"/>
            </w:pPr>
            <w:hyperlink r:id="rId6" w:tgtFrame="_blank" w:history="1">
              <w:r>
                <w:rPr>
                  <w:rStyle w:val="a5"/>
                </w:rPr>
                <w:t>max.poll.interval.ms</w:t>
              </w:r>
            </w:hyperlink>
          </w:p>
        </w:tc>
        <w:tc>
          <w:tcPr>
            <w:tcW w:w="1575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295D42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t xml:space="preserve">300 000 </w:t>
            </w:r>
            <w:proofErr w:type="spellStart"/>
            <w:r>
              <w:t>мс</w:t>
            </w:r>
            <w:proofErr w:type="spellEnd"/>
            <w:r>
              <w:t xml:space="preserve"> (5 мин)</w:t>
            </w:r>
          </w:p>
        </w:tc>
        <w:tc>
          <w:tcPr>
            <w:tcW w:w="2850" w:type="dxa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1EB7BA8" w14:textId="77777777" w:rsidR="004058CB" w:rsidRDefault="004058CB">
            <w:pPr>
              <w:pStyle w:val="a7"/>
              <w:spacing w:before="0" w:beforeAutospacing="0" w:after="0" w:afterAutospacing="0"/>
            </w:pPr>
            <w:r>
              <w:t xml:space="preserve">120 000 </w:t>
            </w:r>
            <w:proofErr w:type="spellStart"/>
            <w:r>
              <w:t>мс</w:t>
            </w:r>
            <w:proofErr w:type="spellEnd"/>
            <w:r>
              <w:t xml:space="preserve"> (120 с)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1F384DE" w14:textId="3C2C73AB" w:rsidR="004058CB" w:rsidRDefault="004058CB">
            <w:pPr>
              <w:pStyle w:val="a7"/>
              <w:spacing w:before="0" w:beforeAutospacing="0" w:after="0" w:afterAutospacing="0"/>
            </w:pPr>
            <w:r>
              <w:t xml:space="preserve">Максимальная задержка между вызовами 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 xml:space="preserve">) при работе в составе группы потребителей. По умолчанию 5 минут: если потребитель не вызывает </w:t>
            </w:r>
            <w:proofErr w:type="spellStart"/>
            <w:r>
              <w:t>poll</w:t>
            </w:r>
            <w:proofErr w:type="spellEnd"/>
            <w:r>
              <w:t xml:space="preserve"> дольше, он считается «зависшим» </w:t>
            </w:r>
            <w:hyperlink r:id="rId7" w:anchor="max-poll-interval-ms" w:tgtFrame="_blank" w:history="1">
              <w:r>
                <w:rPr>
                  <w:rStyle w:val="a5"/>
                </w:rPr>
                <w:t>и</w:t>
              </w:r>
            </w:hyperlink>
            <w:r>
              <w:t> </w:t>
            </w:r>
            <w:hyperlink r:id="rId8" w:anchor="max-poll-interval-ms" w:tgtFrame="_blank" w:history="1">
              <w:r>
                <w:rPr>
                  <w:rStyle w:val="a5"/>
                </w:rPr>
                <w:t>исключается из группы</w:t>
              </w:r>
            </w:hyperlink>
            <w:r>
              <w:t xml:space="preserve">. </w:t>
            </w:r>
          </w:p>
        </w:tc>
      </w:tr>
    </w:tbl>
    <w:p w14:paraId="4E4F0A7A" w14:textId="77777777" w:rsidR="004058CB" w:rsidRDefault="004058CB" w:rsidP="004058CB"/>
    <w:p w14:paraId="4406712C" w14:textId="77777777" w:rsidR="001F07DC" w:rsidRPr="001F07DC" w:rsidRDefault="001F07DC" w:rsidP="001F07DC">
      <w:pPr>
        <w:rPr>
          <w:b/>
        </w:rPr>
      </w:pPr>
      <w:r w:rsidRPr="001F07DC">
        <w:rPr>
          <w:b/>
        </w:rPr>
        <w:t>Проблема таймаутов</w:t>
      </w:r>
    </w:p>
    <w:p w14:paraId="32E56FA8" w14:textId="6834B41A" w:rsidR="001F07DC" w:rsidRDefault="001F07DC" w:rsidP="001F07DC">
      <w:r>
        <w:lastRenderedPageBreak/>
        <w:t>После применения новых настроек данные действительно стали накапливаться в большие пачки. Однако поначалу возникли побочные эффекты, связанные с таймаутами</w:t>
      </w:r>
      <w:r>
        <w:t xml:space="preserve">. </w:t>
      </w:r>
      <w:r>
        <w:t xml:space="preserve">Мы получили разрывы подключения к </w:t>
      </w:r>
      <w:proofErr w:type="spellStart"/>
      <w:r>
        <w:t>Kafka</w:t>
      </w:r>
      <w:proofErr w:type="spellEnd"/>
      <w:r>
        <w:t xml:space="preserve">: в логах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было сообщение о отключении от узла. Брокер разъединялся, потому что коннектор ждал ответ дольше дефолтных 30 с (при новом fetch.max.wait.ms = 72 секунд).</w:t>
      </w:r>
    </w:p>
    <w:p w14:paraId="2268C226" w14:textId="3FCA9955" w:rsidR="004058CB" w:rsidRDefault="001F07DC" w:rsidP="001F07DC">
      <w:r w:rsidRPr="001F07DC">
        <w:rPr>
          <w:b/>
        </w:rPr>
        <w:t>Решение</w:t>
      </w:r>
      <w:r>
        <w:t xml:space="preserve">: повысить request.timeout.ms на клиенте до 100 с ("request.timeout.ms" = "100000"), чтобы покрыть максимальное время ожидания </w:t>
      </w:r>
      <w:proofErr w:type="spellStart"/>
      <w:r>
        <w:t>батча</w:t>
      </w:r>
      <w:proofErr w:type="spellEnd"/>
      <w:r>
        <w:t xml:space="preserve"> + возможные сетевые задержки. После увеличения этого параметра разрывы соединения прекратились.</w:t>
      </w:r>
    </w:p>
    <w:p w14:paraId="6D71D57B" w14:textId="77777777" w:rsidR="003662E5" w:rsidRPr="003662E5" w:rsidRDefault="003662E5" w:rsidP="003662E5">
      <w:pPr>
        <w:pStyle w:val="a7"/>
        <w:spacing w:before="360" w:beforeAutospacing="0" w:after="0" w:afterAutospacing="0"/>
        <w:rPr>
          <w:rFonts w:ascii="Arial" w:hAnsi="Arial" w:cs="Arial"/>
        </w:rPr>
      </w:pPr>
      <w:r w:rsidRPr="003662E5">
        <w:rPr>
          <w:rStyle w:val="a8"/>
          <w:rFonts w:ascii="Arial" w:hAnsi="Arial" w:cs="Arial"/>
        </w:rPr>
        <w:t>Второй этап оптими</w:t>
      </w:r>
      <w:bookmarkStart w:id="0" w:name="_GoBack"/>
      <w:bookmarkEnd w:id="0"/>
      <w:r w:rsidRPr="003662E5">
        <w:rPr>
          <w:rStyle w:val="a8"/>
          <w:rFonts w:ascii="Arial" w:hAnsi="Arial" w:cs="Arial"/>
        </w:rPr>
        <w:t xml:space="preserve">зации: настройка </w:t>
      </w:r>
      <w:proofErr w:type="spellStart"/>
      <w:r w:rsidRPr="003662E5">
        <w:rPr>
          <w:rStyle w:val="a8"/>
          <w:rFonts w:ascii="Arial" w:hAnsi="Arial" w:cs="Arial"/>
        </w:rPr>
        <w:t>ClickHouse</w:t>
      </w:r>
      <w:proofErr w:type="spellEnd"/>
      <w:r w:rsidRPr="003662E5">
        <w:rPr>
          <w:rStyle w:val="a8"/>
          <w:rFonts w:ascii="Arial" w:hAnsi="Arial" w:cs="Arial"/>
        </w:rPr>
        <w:t xml:space="preserve">-коннектора с помощью опции </w:t>
      </w:r>
      <w:proofErr w:type="spellStart"/>
      <w:r w:rsidRPr="003662E5">
        <w:rPr>
          <w:rStyle w:val="a8"/>
          <w:rFonts w:ascii="Arial" w:hAnsi="Arial" w:cs="Arial"/>
        </w:rPr>
        <w:t>ignorePartitionsWhenBatching</w:t>
      </w:r>
      <w:proofErr w:type="spellEnd"/>
    </w:p>
    <w:p w14:paraId="4317C851" w14:textId="77777777" w:rsidR="003662E5" w:rsidRPr="003662E5" w:rsidRDefault="003662E5" w:rsidP="003662E5">
      <w:pPr>
        <w:pStyle w:val="a7"/>
        <w:spacing w:before="360" w:beforeAutospacing="0" w:after="0" w:afterAutospacing="0"/>
        <w:rPr>
          <w:rFonts w:ascii="Arial" w:hAnsi="Arial" w:cs="Arial"/>
        </w:rPr>
      </w:pPr>
      <w:r w:rsidRPr="003662E5">
        <w:rPr>
          <w:rFonts w:ascii="Arial" w:hAnsi="Arial" w:cs="Arial"/>
        </w:rPr>
        <w:t xml:space="preserve">После оптимизации настроек потребителя </w:t>
      </w:r>
      <w:proofErr w:type="spellStart"/>
      <w:r w:rsidRPr="003662E5">
        <w:rPr>
          <w:rFonts w:ascii="Arial" w:hAnsi="Arial" w:cs="Arial"/>
        </w:rPr>
        <w:t>Kafka</w:t>
      </w:r>
      <w:proofErr w:type="spellEnd"/>
      <w:r w:rsidRPr="003662E5">
        <w:rPr>
          <w:rFonts w:ascii="Arial" w:hAnsi="Arial" w:cs="Arial"/>
        </w:rPr>
        <w:t xml:space="preserve"> на первом этапе (увеличен объём данных, забираемых за один запрос к брокеру), мы столкнулись с ограничением: по умолчанию коннектор </w:t>
      </w:r>
      <w:proofErr w:type="spellStart"/>
      <w:r w:rsidRPr="003662E5">
        <w:rPr>
          <w:rFonts w:ascii="Arial" w:hAnsi="Arial" w:cs="Arial"/>
        </w:rPr>
        <w:t>Kafka</w:t>
      </w:r>
      <w:proofErr w:type="spellEnd"/>
      <w:r w:rsidRPr="003662E5">
        <w:rPr>
          <w:rFonts w:ascii="Arial" w:hAnsi="Arial" w:cs="Arial"/>
        </w:rPr>
        <w:t xml:space="preserve"> → </w:t>
      </w:r>
      <w:proofErr w:type="spellStart"/>
      <w:r w:rsidRPr="003662E5">
        <w:rPr>
          <w:rFonts w:ascii="Arial" w:hAnsi="Arial" w:cs="Arial"/>
        </w:rPr>
        <w:t>ClickHouse</w:t>
      </w:r>
      <w:proofErr w:type="spellEnd"/>
      <w:r w:rsidRPr="003662E5">
        <w:rPr>
          <w:rFonts w:ascii="Arial" w:hAnsi="Arial" w:cs="Arial"/>
        </w:rPr>
        <w:t xml:space="preserve"> формирует INSERT-запросы, разбивая полученные сообщения по отдельным </w:t>
      </w:r>
      <w:proofErr w:type="spellStart"/>
      <w:r w:rsidRPr="003662E5">
        <w:rPr>
          <w:rFonts w:ascii="Arial" w:hAnsi="Arial" w:cs="Arial"/>
        </w:rPr>
        <w:t>батчам</w:t>
      </w:r>
      <w:proofErr w:type="spellEnd"/>
      <w:r w:rsidRPr="003662E5">
        <w:rPr>
          <w:rFonts w:ascii="Arial" w:hAnsi="Arial" w:cs="Arial"/>
        </w:rPr>
        <w:t xml:space="preserve"> согласно </w:t>
      </w:r>
      <w:proofErr w:type="spellStart"/>
      <w:r w:rsidRPr="003662E5">
        <w:rPr>
          <w:rFonts w:ascii="Arial" w:hAnsi="Arial" w:cs="Arial"/>
        </w:rPr>
        <w:t>партициям</w:t>
      </w:r>
      <w:proofErr w:type="spellEnd"/>
      <w:r w:rsidRPr="003662E5">
        <w:rPr>
          <w:rFonts w:ascii="Arial" w:hAnsi="Arial" w:cs="Arial"/>
        </w:rPr>
        <w:t xml:space="preserve"> </w:t>
      </w:r>
      <w:proofErr w:type="spellStart"/>
      <w:r w:rsidRPr="003662E5">
        <w:rPr>
          <w:rFonts w:ascii="Arial" w:hAnsi="Arial" w:cs="Arial"/>
        </w:rPr>
        <w:t>Kafka</w:t>
      </w:r>
      <w:proofErr w:type="spellEnd"/>
      <w:r w:rsidRPr="003662E5">
        <w:rPr>
          <w:rFonts w:ascii="Arial" w:hAnsi="Arial" w:cs="Arial"/>
        </w:rPr>
        <w:t>-топика.</w:t>
      </w:r>
    </w:p>
    <w:p w14:paraId="026CB65A" w14:textId="77777777" w:rsidR="003662E5" w:rsidRPr="003662E5" w:rsidRDefault="003662E5" w:rsidP="003662E5">
      <w:pPr>
        <w:pStyle w:val="a7"/>
        <w:spacing w:before="360" w:beforeAutospacing="0" w:after="0" w:afterAutospacing="0"/>
        <w:rPr>
          <w:rFonts w:ascii="Arial" w:hAnsi="Arial" w:cs="Arial"/>
        </w:rPr>
      </w:pPr>
      <w:r w:rsidRPr="003662E5">
        <w:rPr>
          <w:rFonts w:ascii="Arial" w:hAnsi="Arial" w:cs="Arial"/>
        </w:rPr>
        <w:t xml:space="preserve">Это приводит к тому, что даже при достаточно большом объёме данных, который коннектор получает за один вызов метода </w:t>
      </w:r>
      <w:proofErr w:type="spellStart"/>
      <w:proofErr w:type="gramStart"/>
      <w:r w:rsidRPr="003662E5">
        <w:rPr>
          <w:rFonts w:ascii="Arial" w:hAnsi="Arial" w:cs="Arial"/>
        </w:rPr>
        <w:t>poll</w:t>
      </w:r>
      <w:proofErr w:type="spellEnd"/>
      <w:r w:rsidRPr="003662E5">
        <w:rPr>
          <w:rFonts w:ascii="Arial" w:hAnsi="Arial" w:cs="Arial"/>
        </w:rPr>
        <w:t>(</w:t>
      </w:r>
      <w:proofErr w:type="gramEnd"/>
      <w:r w:rsidRPr="003662E5">
        <w:rPr>
          <w:rFonts w:ascii="Arial" w:hAnsi="Arial" w:cs="Arial"/>
        </w:rPr>
        <w:t xml:space="preserve">), данные всё равно отправляются в </w:t>
      </w:r>
      <w:proofErr w:type="spellStart"/>
      <w:r w:rsidRPr="003662E5">
        <w:rPr>
          <w:rFonts w:ascii="Arial" w:hAnsi="Arial" w:cs="Arial"/>
        </w:rPr>
        <w:t>ClickHouse</w:t>
      </w:r>
      <w:proofErr w:type="spellEnd"/>
      <w:r w:rsidRPr="003662E5">
        <w:rPr>
          <w:rFonts w:ascii="Arial" w:hAnsi="Arial" w:cs="Arial"/>
        </w:rPr>
        <w:t xml:space="preserve"> множеством мелких транзакций, так как каждый переход к новой </w:t>
      </w:r>
      <w:proofErr w:type="spellStart"/>
      <w:r w:rsidRPr="003662E5">
        <w:rPr>
          <w:rFonts w:ascii="Arial" w:hAnsi="Arial" w:cs="Arial"/>
        </w:rPr>
        <w:t>партиции</w:t>
      </w:r>
      <w:proofErr w:type="spellEnd"/>
      <w:r w:rsidRPr="003662E5">
        <w:rPr>
          <w:rFonts w:ascii="Arial" w:hAnsi="Arial" w:cs="Arial"/>
        </w:rPr>
        <w:t xml:space="preserve"> топика вынуждает отправить текущий </w:t>
      </w:r>
      <w:proofErr w:type="spellStart"/>
      <w:r w:rsidRPr="003662E5">
        <w:rPr>
          <w:rFonts w:ascii="Arial" w:hAnsi="Arial" w:cs="Arial"/>
        </w:rPr>
        <w:t>батч</w:t>
      </w:r>
      <w:proofErr w:type="spellEnd"/>
      <w:r w:rsidRPr="003662E5">
        <w:rPr>
          <w:rFonts w:ascii="Arial" w:hAnsi="Arial" w:cs="Arial"/>
        </w:rPr>
        <w:t xml:space="preserve"> и начать формирование нового. В итоге снижается эффективность передачи данных в </w:t>
      </w:r>
      <w:proofErr w:type="spellStart"/>
      <w:r w:rsidRPr="003662E5">
        <w:rPr>
          <w:rFonts w:ascii="Arial" w:hAnsi="Arial" w:cs="Arial"/>
        </w:rPr>
        <w:t>ClickHouse</w:t>
      </w:r>
      <w:proofErr w:type="spellEnd"/>
      <w:r w:rsidRPr="003662E5">
        <w:rPr>
          <w:rFonts w:ascii="Arial" w:hAnsi="Arial" w:cs="Arial"/>
        </w:rPr>
        <w:t>, так как кластер наиболее эффективен именно при крупных пакетных вставках.</w:t>
      </w:r>
    </w:p>
    <w:p w14:paraId="1F9C55E4" w14:textId="1A6D1B2A" w:rsidR="003662E5" w:rsidRPr="003662E5" w:rsidRDefault="003662E5" w:rsidP="003662E5">
      <w:pPr>
        <w:pStyle w:val="a7"/>
        <w:spacing w:before="360" w:beforeAutospacing="0" w:after="0" w:afterAutospacing="0"/>
        <w:rPr>
          <w:rFonts w:ascii="Arial" w:hAnsi="Arial" w:cs="Arial"/>
        </w:rPr>
      </w:pPr>
      <w:r w:rsidRPr="003662E5">
        <w:rPr>
          <w:rFonts w:ascii="Arial" w:hAnsi="Arial" w:cs="Arial"/>
        </w:rPr>
        <w:t>Чтобы устранить это ограничение, мы применили дополнительную оптимизацию на стороне самого коннектора:</w:t>
      </w:r>
    </w:p>
    <w:p w14:paraId="66B7DFA4" w14:textId="7E4E7239" w:rsidR="003662E5" w:rsidRPr="003662E5" w:rsidRDefault="003662E5" w:rsidP="003662E5">
      <w:pPr>
        <w:pStyle w:val="a7"/>
        <w:spacing w:before="360" w:beforeAutospacing="0" w:after="0" w:afterAutospacing="0"/>
        <w:rPr>
          <w:rFonts w:ascii="Arial" w:hAnsi="Arial" w:cs="Arial"/>
          <w:lang w:val="en-US"/>
        </w:rPr>
      </w:pPr>
      <w:proofErr w:type="spellStart"/>
      <w:r w:rsidRPr="003662E5">
        <w:rPr>
          <w:rStyle w:val="a8"/>
          <w:rFonts w:ascii="Arial" w:hAnsi="Arial" w:cs="Arial"/>
        </w:rPr>
        <w:t>ignorePartitionsWhenBatching</w:t>
      </w:r>
      <w:proofErr w:type="spellEnd"/>
      <w:r w:rsidRPr="003662E5">
        <w:rPr>
          <w:rStyle w:val="a8"/>
          <w:rFonts w:ascii="Arial" w:hAnsi="Arial" w:cs="Arial"/>
        </w:rPr>
        <w:t xml:space="preserve"> = </w:t>
      </w:r>
      <w:r w:rsidRPr="003662E5">
        <w:rPr>
          <w:rStyle w:val="a8"/>
          <w:rFonts w:ascii="Arial" w:hAnsi="Arial" w:cs="Arial"/>
          <w:lang w:val="en-US"/>
        </w:rPr>
        <w:t>true</w:t>
      </w:r>
    </w:p>
    <w:p w14:paraId="5A693755" w14:textId="77777777" w:rsidR="003662E5" w:rsidRPr="004058CB" w:rsidRDefault="003662E5" w:rsidP="001F07DC"/>
    <w:sectPr w:rsidR="003662E5" w:rsidRPr="0040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08"/>
    <w:rsid w:val="001F07DC"/>
    <w:rsid w:val="00214508"/>
    <w:rsid w:val="002C1DDB"/>
    <w:rsid w:val="003662E5"/>
    <w:rsid w:val="004058CB"/>
    <w:rsid w:val="00D2035F"/>
    <w:rsid w:val="00D551E9"/>
    <w:rsid w:val="00E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192C"/>
  <w15:chartTrackingRefBased/>
  <w15:docId w15:val="{A0F2DFE2-0891-4023-BAFC-F504313E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058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058CB"/>
    <w:rPr>
      <w:rFonts w:eastAsiaTheme="minorEastAsia"/>
      <w:color w:val="5A5A5A" w:themeColor="text1" w:themeTint="A5"/>
      <w:spacing w:val="15"/>
    </w:rPr>
  </w:style>
  <w:style w:type="character" w:styleId="a5">
    <w:name w:val="Hyperlink"/>
    <w:basedOn w:val="a0"/>
    <w:uiPriority w:val="99"/>
    <w:unhideWhenUsed/>
    <w:rsid w:val="004058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058CB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0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058CB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1F0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F07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47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1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fluent.io/platform/current/installation/configuration/consumer-config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confluent.io/platform/current/installation/configuration/consumer-config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x.poll.interval.ms/" TargetMode="External"/><Relationship Id="rId5" Type="http://schemas.openxmlformats.org/officeDocument/2006/relationships/hyperlink" Target="https://habr.com/ru/companies/magnit/articles/926834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ickhouse.com/docs/ru/guides/inserting-data?utm_source=chatgpt.com#insert-in-large-batch-siz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2025-07-22T18:09:00Z</dcterms:created>
  <dcterms:modified xsi:type="dcterms:W3CDTF">2025-07-22T18:22:00Z</dcterms:modified>
</cp:coreProperties>
</file>