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Mauli Rituals commerce strategy</w:t>
      </w:r>
    </w:p>
    <w:p>
      <w:pPr/>
      <w:r>
        <w:t>Initial draft • 11 October 2026 • Future of Commerce coursework</w:t>
      </w:r>
    </w:p>
    <w:p>
      <w:pPr/>
      <w:r>
        <w:t>Independent pro bono student advisory work for Mauli Rituals. Seven team members are to be confirmed. Instructor attribution: Professor Nikhil Soi, supplied by the project owner. This proposal does not imply client or institution endorsement.</w:t>
      </w:r>
    </w:p>
    <w:p>
      <w:pPr>
        <w:pStyle w:val="Heading2"/>
      </w:pPr>
      <w:r>
        <w:t>Decision and purpose</w:t>
      </w:r>
    </w:p>
    <w:p>
      <w:pPr/>
      <w:r>
        <w:t>We recommend one incremental ritual-discovery campaign on Mauli’s existing Shopify store: connect human-led social or live education to an optional, explainable recommendation journey, and expand only when customer understanding, repeat practice and contribution justify the cost.</w:t>
      </w:r>
    </w:p>
    <w:p>
      <w:pPr/>
      <w:r>
        <w:t>The purpose is continued relevance and adaptability as commerce interfaces change. Mauli’s advantage is the meaning and experience surrounding its products. The commercial question is whether that meaning survives the movement from an encounter, to a recommendation, to a purchase and a repeated practice. A connecting thread can make the journey coherent; animation alone cannot establish the business case.</w:t>
      </w:r>
    </w:p>
    <w:p>
      <w:pPr>
        <w:pStyle w:val="Heading2"/>
      </w:pPr>
      <w:r>
        <w:t>The specific intermediation exposure</w:t>
      </w:r>
    </w:p>
    <w:p>
      <w:pPr/>
      <w:r>
        <w:t>The classroom client brief describes a sensory, heritage-led brand whose founder is deliberately reducing her visibility, whose first D2C order barely breaks even, and whose partnerships create credibility without automatically compounding profit. The same brief reports £87 AOV and 61% D2C mix. These are supplied, founder-attributed classroom assertions with unresolved periods and definitions, not audited current KPIs. [C1, pp. 3–4, 6–7]</w:t>
      </w:r>
    </w:p>
    <w:p>
      <w:pPr/>
      <w:r>
        <w:t>An answer engine may compare a hair oil by price and ingredients while omitting instruction, cultural context or realistic use. A social clip may carry aesthetic recognition without enough guidance to make a confident choice. A spa encounter may create trust, yet its continuation into an owned relationship is unknown. These are three testable exposures, not three proven conversion leaks. The journey audit must distinguish missing information from actual abandonment.</w:t>
      </w:r>
    </w:p>
    <w:p>
      <w:pPr>
        <w:pStyle w:val="Heading2"/>
      </w:pPr>
      <w:r>
        <w:t>Course reasoning and priority</w:t>
      </w:r>
    </w:p>
    <w:p>
      <w:pPr/>
      <w:r>
        <w:t>Week 1 treats new interfaces as layers, rather than replacements; retaining Shopify is consistent with that logic. Week 2’s Consumer Decision Journey explains why evaluation can introduce new brands and why post-purchase experience affects the next consideration set. Our intervention therefore links evaluation and continuation, rather than merely buying more awareness. AAARRR remains an operational event map, not a claim that real journeys are linear. [L1, slide 19; L2, slides 5–8]</w:t>
      </w:r>
    </w:p>
    <w:p>
      <w:pPr/>
      <w:r>
        <w:t>The first demonstrator serves a visitor who wants a manageable home ritual and understandable product guidance. The research covers cultural reconnection, repeated home ritual and premium consumer plus luxury B2B fit. We prioritise the second umbrella for the first journey because feasibility of practice can be tested directly; partner distribution remains conditional on approval. The other umbrellas test transferability rather than creating three simultaneous campaigns.</w:t>
      </w:r>
    </w:p>
    <w:p>
      <w:r>
        <w:br w:type="page"/>
      </w:r>
    </w:p>
    <w:p>
      <w:pPr>
        <w:pStyle w:val="Heading1"/>
      </w:pPr>
      <w:r>
        <w:t>A coherent proposal across two commerce areas</w:t>
      </w:r>
    </w:p>
    <w:p>
      <w:pPr>
        <w:pStyle w:val="Heading2"/>
      </w:pPr>
      <w:r>
        <w:t>AI personalisation through an explainable discovery flow</w:t>
      </w:r>
    </w:p>
    <w:p>
      <w:pPr/>
      <w:r>
        <w:t>Prototype a short preference-led flow using reviewed product facts and transparent rules. Ask about the desired occasion, available time, sensory preference and product interest. Show one feasible ritual step, a reason for its selection, clear instructions, constraints and total product price. Offer a product-free practice, a single-product starter and an optional fuller ritual. Results appear before optional email capture; direct browsing remains available.</w:t>
      </w:r>
    </w:p>
    <w:p>
      <w:pPr/>
      <w:r>
        <w:t>This applies Week 2’s content-based recommendation and cold-start discussion. Explicit preferences and item attributes can support a small demonstration before sufficient behavioural history exists for collaborative filtering. Rules demonstrate the decision logic; they do not constitute a deployed predictive AI engine. A later AI layer would explain the same approved facts, with a refusal and human handoff when the knowledge base cannot answer. [L2, slides 29–31, 35–36]</w:t>
      </w:r>
    </w:p>
    <w:p>
      <w:pPr>
        <w:pStyle w:val="Heading2"/>
      </w:pPr>
      <w:r>
        <w:t>Social and live education feeding the same journey</w:t>
      </w:r>
    </w:p>
    <w:p>
      <w:pPr/>
      <w:r>
        <w:t>Create one short practitioner or founder-style demonstration showing how a selected ritual fits an ordinary day. End with a trackable link to the discovery flow. Invite useful questions and publish a reviewed text summary so the explanation survives clipping and can be understood without sound. Where agreed, a spa continuation card uses the same link and campaign identifiers.</w:t>
      </w:r>
    </w:p>
    <w:p>
      <w:pPr/>
      <w:r>
        <w:t>A live session linking to Shopify is social-influenced commerce unless the transaction occurs inside the social platform. We use that distinction precisely. Native social checkout is an option to assess later, not a necessary first launch. The safeguard is an approved human explanation, explicit recording rights, no manufactured testimonial and no unsupported treatment promise. [L1, slide 25; C1, pp. 6–9]</w:t>
      </w:r>
    </w:p>
    <w:p>
      <w:pPr>
        <w:pStyle w:val="Heading2"/>
      </w:pPr>
      <w:r>
        <w:t>Positioning merchandising pricing and customer experience</w:t>
      </w:r>
    </w:p>
    <w:tbl>
      <w:tblPr>
        <w:tblW w:type="auto" w:w="0"/>
        <w:tblLayout w:type="fixed"/>
        <w:tblLook w:firstColumn="1" w:firstRow="1" w:lastColumn="0" w:lastRow="0" w:noHBand="0" w:noVBand="1" w:val="04A0"/>
      </w:tblPr>
      <w:tblGrid>
        <w:gridCol w:w="1800"/>
        <w:gridCol w:w="7344"/>
      </w:tblGrid>
      <w:tr>
        <w:trPr>
          <w:tblHeader/>
          <w:cantSplit/>
        </w:trPr>
        <w:tc>
          <w:tcPr>
            <w:tcW w:type="dxa" w:w="1800"/>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Choice</w:t>
            </w:r>
          </w:p>
        </w:tc>
        <w:tc>
          <w:tcPr>
            <w:tcW w:type="dxa" w:w="7344"/>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Applied decision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Positioning</w:t>
            </w:r>
          </w:p>
        </w:tc>
        <w:tc>
          <w:tcPr>
            <w:tcW w:type="dxa" w:w="73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Informed ritual practice with authentic context; guidance is useful before a sale.</w:t>
            </w:r>
          </w:p>
        </w:tc>
      </w:tr>
      <w:tr>
        <w:trPr>
          <w:cantSplit/>
        </w:trPr>
        <w:tc>
          <w:tcPr>
            <w:tcW w:type="dxa" w:w="180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Merchandising</w:t>
            </w:r>
          </w:p>
        </w:tc>
        <w:tc>
          <w:tcPr>
            <w:tcW w:type="dxa" w:w="734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Start with one understood step; fuller routines are optional and explained.</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Pricing</w:t>
            </w:r>
          </w:p>
        </w:tc>
        <w:tc>
          <w:tcPr>
            <w:tcW w:type="dxa" w:w="73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Show total cost early; test value before adding discounts or mandatory bundles.</w:t>
            </w:r>
          </w:p>
        </w:tc>
      </w:tr>
      <w:tr>
        <w:trPr>
          <w:cantSplit/>
        </w:trPr>
        <w:tc>
          <w:tcPr>
            <w:tcW w:type="dxa" w:w="180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Customer experience</w:t>
            </w:r>
          </w:p>
        </w:tc>
        <w:tc>
          <w:tcPr>
            <w:tcW w:type="dxa" w:w="734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Join education, choice, voluntary follow-up and direct browsing on the existing store.</w:t>
            </w:r>
          </w:p>
        </w:tc>
      </w:tr>
    </w:tbl>
    <w:p>
      <w:pPr>
        <w:spacing w:after="0"/>
      </w:pPr>
    </w:p>
    <w:p>
      <w:pPr/>
      <w:r>
        <w:t>ELM requires both concise sensory cues and inspectable arguments. Fogg’s motivation, ability and prompt model suggests making the step easier before adding stronger persuasion. A shopper should see what to do, how long it takes and why the recommendation fits. Optional motion and the circular chord concept must support comprehension, have a text equivalent and respect reduced motion. Dosha is a wellness discovery concept, not a clinical diagnosis. [L2, slides 11–14; L3, p. 4]</w:t>
      </w:r>
    </w:p>
    <w:p>
      <w:pPr/>
      <w:r>
        <w:t>The blessed red thread described in the client brief supports a proposed connecting motif. We would obtain client review of its cultural explanation and creative use. A digital stroke can evoke connection but cannot reproduce scent, texture or the physical ritual. [C1, p. 6; L3, pp. 13–17]</w:t>
      </w:r>
    </w:p>
    <w:p>
      <w:r>
        <w:br w:type="page"/>
      </w:r>
    </w:p>
    <w:p>
      <w:pPr>
        <w:pStyle w:val="Heading1"/>
      </w:pPr>
      <w:r>
        <w:t>Measure customer value and commercial contribution</w:t>
      </w:r>
    </w:p>
    <w:p>
      <w:pPr>
        <w:pStyle w:val="Heading2"/>
      </w:pPr>
      <w:r>
        <w:t>One signature metric</w:t>
      </w:r>
    </w:p>
    <w:p>
      <w:pPr/>
      <w:r>
        <w:t>Proposed Ritual Continuation Rate at day 21 measures the share of eligible responding recipients who report practising their chosen step on at least three separate days during the preceding seven days. The three-day threshold is an initial protocol assumption to review with the client and participants, not an Ayurvedic prescription or an existing benchmark. Ask once at day 21, with a predefined ±3-day response window. [C2, slide 14]</w:t>
      </w:r>
    </w:p>
    <w:p>
      <w:pPr/>
      <w:r>
        <w:t>Numerator: eligible respondents meeting the agreed practice threshold. Denominator: all eligible respondents answering the practice question, including zero practice. Eligibility begins when a visitor voluntarily selects a ritual step and agrees to the follow-up invitation; no purchase is required. Freeze the denominator rules before testing. Publish response coverage alongside it: valid practice responses divided by successfully delivered eligible invitations. Declines, undelivered invitations and unanswered questions are separate counts.</w:t>
      </w:r>
    </w:p>
    <w:p>
      <w:pPr/>
      <w:r>
        <w:t>This measures reported practice among respondents, not wellbeing improvement or population-wide adherence. Self-selection, memory and response bias may change the result. A higher rate with lower response coverage is not automatically success. The metric honours the brief’s “give more in value than you take” principle because a useful practice can occur without another purchase. It supplements economics rather than disguising weak economics.</w:t>
      </w:r>
    </w:p>
    <w:p>
      <w:pPr>
        <w:pStyle w:val="Heading2"/>
      </w:pPr>
      <w:r>
        <w:t>A balanced decision set</w:t>
      </w:r>
    </w:p>
    <w:tbl>
      <w:tblPr>
        <w:tblW w:type="auto" w:w="0"/>
        <w:tblLayout w:type="fixed"/>
        <w:tblLook w:firstColumn="1" w:firstRow="1" w:lastColumn="0" w:lastRow="0" w:noHBand="0" w:noVBand="1" w:val="04A0"/>
      </w:tblPr>
      <w:tblGrid>
        <w:gridCol w:w="2304"/>
        <w:gridCol w:w="6840"/>
      </w:tblGrid>
      <w:tr>
        <w:trPr>
          <w:tblHeader/>
          <w:cantSplit/>
        </w:trPr>
        <w:tc>
          <w:tcPr>
            <w:tcW w:type="dxa" w:w="2304"/>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Measure</w:t>
            </w:r>
          </w:p>
        </w:tc>
        <w:tc>
          <w:tcPr>
            <w:tcW w:type="dxa" w:w="6840"/>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Definition and decision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Understood activation</w:t>
            </w:r>
          </w:p>
        </w:tc>
        <w:tc>
          <w:tcPr>
            <w:tcW w:type="dxa" w:w="68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Choose or save a ritual step after viewing its explanation; pair with a prototype comprehension check.</w:t>
            </w:r>
          </w:p>
        </w:tc>
      </w:tr>
      <w:tr>
        <w:trPr>
          <w:cantSplit/>
        </w:trPr>
        <w:tc>
          <w:tcPr>
            <w:tcW w:type="dxa" w:w="230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Contribution after acquisition</w:t>
            </w:r>
          </w:p>
        </w:tc>
        <w:tc>
          <w:tcPr>
            <w:tcW w:type="dxa" w:w="684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Sales after discounts and refunds plus retained shipping income, less product, fulfilment, fees, service and acquisition costs.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Matured 90 day repeat</w:t>
            </w:r>
          </w:p>
        </w:tc>
        <w:tc>
          <w:tcPr>
            <w:tcW w:type="dxa" w:w="68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Second-purchase buyers divided by first-purchase buyers with a full 90-day window.</w:t>
            </w:r>
          </w:p>
        </w:tc>
      </w:tr>
      <w:tr>
        <w:trPr>
          <w:cantSplit/>
        </w:trPr>
        <w:tc>
          <w:tcPr>
            <w:tcW w:type="dxa" w:w="230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Answer accuracy</w:t>
            </w:r>
          </w:p>
        </w:tc>
        <w:tc>
          <w:tcPr>
            <w:tcW w:type="dxa" w:w="684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Correct checked product facts divided by checked facts in a fixed AI prompt panel; record unsupported claims.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Guardrails</w:t>
            </w:r>
          </w:p>
        </w:tc>
        <w:tc>
          <w:tcPr>
            <w:tcW w:type="dxa" w:w="68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Abandonment, complaints, opt-outs, staff time, accessibility and per-session service cost.</w:t>
            </w:r>
          </w:p>
        </w:tc>
      </w:tr>
    </w:tbl>
    <w:p>
      <w:pPr>
        <w:spacing w:after="0"/>
      </w:pPr>
    </w:p>
    <w:p>
      <w:pPr/>
      <w:r>
        <w:t>Do not interpret the supplied 54% “existing” share as a repurchase rate, or newsletter opens as evidence of practice. Cohort contribution over 180 days is observed period value, not lifetime value. Consumer and account CAC have different denominators. Partner sell-in, retail sell-through and guest D2C orders must not be added as the same revenue. [C1, pp. 4, 7, 9–10; R3]</w:t>
      </w:r>
    </w:p>
    <w:p>
      <w:pPr>
        <w:pStyle w:val="Heading2"/>
      </w:pPr>
      <w:r>
        <w:t>Test and investment rule</w:t>
      </w:r>
    </w:p>
    <w:p>
      <w:pPr/>
      <w:r>
        <w:t>Before a live pilot, agree the eligible audience, assignment unit, duration, cost ceiling and minimum useful effect. Compare enhanced guidance with the existing journey using a credible holdout where feasible. Otherwise report the result as observational. Course cases warn that recommendation attribution overstates causal lift; industry examples are not Mauli uplift assumptions. Continue only if plausible incremental contribution covers the full intervention cost within an agreed payback period and trust guardrails hold. [L2, slides 36, 38]</w:t>
      </w:r>
    </w:p>
    <w:p>
      <w:r>
        <w:br w:type="page"/>
      </w:r>
    </w:p>
    <w:p>
      <w:pPr>
        <w:pStyle w:val="Heading1"/>
      </w:pPr>
      <w:r>
        <w:t>Sequence delivery and protect feasibility</w:t>
      </w:r>
    </w:p>
    <w:p>
      <w:pPr>
        <w:pStyle w:val="Heading2"/>
      </w:pPr>
      <w:r>
        <w:t>Immediate coursework work</w:t>
      </w:r>
    </w:p>
    <w:p>
      <w:pPr/>
      <w:r>
        <w:t>Complete the existing journey audit, reconcile the supplied KPI definitions, select one entrypoint and prepare the local discovery demonstrator. Produce one reviewed educational script, one workflow and one measurement specification. The project owner leads AI, metrics and recommendation logic; the journey teammate validates current friction. Named responsibility for brand review, channel execution and finance is still to be agreed across the seven-person team.</w:t>
      </w:r>
    </w:p>
    <w:p>
      <w:pPr>
        <w:pStyle w:val="Heading2"/>
      </w:pPr>
      <w:r>
        <w:t>A conditional small pilot</w:t>
      </w:r>
    </w:p>
    <w:p>
      <w:pPr/>
      <w:r>
        <w:t>After client ownership, analytics access, content review and a budget are agreed, test the enhanced guidance with one content entrypoint. A practitioner or spa handoff can be added only with partner agreement. Proposed one-to-three-month sequencing is a planning band, not a client commitment. The pilot needs event instrumentation, consented follow-up, support procedures and a defined stop rule before traffic is directed to it.</w:t>
      </w:r>
    </w:p>
    <w:p>
      <w:pPr>
        <w:pStyle w:val="Heading2"/>
      </w:pPr>
      <w:r>
        <w:t>Longer term capability development</w:t>
      </w:r>
    </w:p>
    <w:p>
      <w:pPr/>
      <w:r>
        <w:t>Use evidence to decide whether to improve the ritual knowledge base, introduce optional voice, or develop a vetted practitioner workflow. Voice should compete against text on usefulness, accuracy, abandonment, cost and staff burden. Agent-facing feeds and structured facts warrant an eligibility and maintenance audit. No particular platform integration is assumed available merely because it appears in lecture examples. [L2, slides 27–28, 34–36; L4, slides 8, 16]</w:t>
      </w:r>
    </w:p>
    <w:p>
      <w:pPr>
        <w:pStyle w:val="Heading2"/>
      </w:pPr>
      <w:r>
        <w:t>Financial viability before rollout</w:t>
      </w:r>
    </w:p>
    <w:p>
      <w:pPr/>
      <w:r>
        <w:t>Compare a no-recommendation baseline with downside, base and upside intervention scenarios. Obtain costs for review, build, agency integration, measurement, content, partner training and ongoing support. Include pro bono effort as future operating cost where appropriate, rollout delay, cannibalisation, returns and optional voice usage. The repository models are calculation templates and fictional demonstrations; their outputs cannot support a Mauli budget until calibrated. [R4]</w:t>
      </w:r>
    </w:p>
    <w:p>
      <w:pPr>
        <w:pStyle w:val="Heading2"/>
      </w:pPr>
      <w:r>
        <w:t>Exclusions and why</w:t>
      </w:r>
    </w:p>
    <w:tbl>
      <w:tblPr>
        <w:tblW w:type="auto" w:w="0"/>
        <w:tblLayout w:type="fixed"/>
        <w:tblLook w:firstColumn="1" w:firstRow="1" w:lastColumn="0" w:lastRow="0" w:noHBand="0" w:noVBand="1" w:val="04A0"/>
      </w:tblPr>
      <w:tblGrid>
        <w:gridCol w:w="3024"/>
        <w:gridCol w:w="6120"/>
      </w:tblGrid>
      <w:tr>
        <w:trPr>
          <w:tblHeader/>
          <w:cantSplit/>
        </w:trPr>
        <w:tc>
          <w:tcPr>
            <w:tcW w:type="dxa" w:w="3024"/>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Excluded now</w:t>
            </w:r>
          </w:p>
        </w:tc>
        <w:tc>
          <w:tcPr>
            <w:tcW w:type="dxa" w:w="6120"/>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Reason</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Shopify replacement</w:t>
            </w:r>
          </w:p>
        </w:tc>
        <w:tc>
          <w:tcPr>
            <w:tcW w:type="dxa" w:w="61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Unnecessary implementation burden before the marketing hypothesis is tested.</w:t>
            </w:r>
          </w:p>
        </w:tc>
      </w:tr>
      <w:tr>
        <w:trPr>
          <w:cantSplit/>
        </w:trPr>
        <w:tc>
          <w:tcPr>
            <w:tcW w:type="dxa" w:w="302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Mandatory voice or AI agent checkout</w:t>
            </w:r>
          </w:p>
        </w:tc>
        <w:tc>
          <w:tcPr>
            <w:tcW w:type="dxa" w:w="612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Adds cost and accountability without evidence of customer value.</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AR or VR launch</w:t>
            </w:r>
          </w:p>
        </w:tc>
        <w:tc>
          <w:tcPr>
            <w:tcW w:type="dxa" w:w="61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 credible discovery and education test already covers the two chosen areas.</w:t>
            </w:r>
          </w:p>
        </w:tc>
      </w:tr>
      <w:tr>
        <w:trPr>
          <w:cantSplit/>
        </w:trPr>
        <w:tc>
          <w:tcPr>
            <w:tcW w:type="dxa" w:w="302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Diagnostic claims and forced bundles</w:t>
            </w:r>
          </w:p>
        </w:tc>
        <w:tc>
          <w:tcPr>
            <w:tcW w:type="dxa" w:w="6120"/>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Contradict useful voluntary guidance and introduce avoidable trust risk.</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Full therapist subscription platform</w:t>
            </w:r>
          </w:p>
        </w:tc>
        <w:tc>
          <w:tcPr>
            <w:tcW w:type="dxa" w:w="61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Requires vetting, contracts, account economics and operational ownership.</w:t>
            </w:r>
          </w:p>
        </w:tc>
      </w:tr>
    </w:tbl>
    <w:p>
      <w:pPr>
        <w:spacing w:after="0"/>
      </w:pPr>
    </w:p>
    <w:p>
      <w:pPr/>
      <w:r>
        <w:t>The next decision is approval of a test specification, not approval of a production rebuild. Validate the recommendation with the founder, reconcile data with commercial owners, test comprehension with customers and rehearse the six-minute pitch. Client feedback and results remain pending. The four-page argument ends here; appendices provide the supporting course application, protocols and evidence. [A1]</w:t>
      </w:r>
    </w:p>
    <w:p>
      <w:r>
        <w:br w:type="page"/>
      </w:r>
    </w:p>
    <w:p>
      <w:pPr>
        <w:pStyle w:val="Heading1"/>
      </w:pPr>
      <w:r>
        <w:t>Appendix A Course frameworks and critical application</w:t>
      </w:r>
    </w:p>
    <w:p>
      <w:pPr/>
      <w:r>
        <w:t>The course expects named frameworks applied to a real company, supported by evidence rather than a summary of slides. The application below explains the decision each framework changes. Lecture statistics are not transferred into client forecasts. [L1, slides 6–7]</w:t>
      </w:r>
    </w:p>
    <w:tbl>
      <w:tblPr>
        <w:tblW w:type="auto" w:w="0"/>
        <w:tblLayout w:type="fixed"/>
        <w:tblLook w:firstColumn="1" w:firstRow="1" w:lastColumn="0" w:lastRow="0" w:noHBand="0" w:noVBand="1" w:val="04A0"/>
      </w:tblPr>
      <w:tblGrid>
        <w:gridCol w:w="2448"/>
        <w:gridCol w:w="3672"/>
        <w:gridCol w:w="3024"/>
      </w:tblGrid>
      <w:tr>
        <w:trPr>
          <w:tblHeader/>
          <w:cantSplit/>
        </w:trPr>
        <w:tc>
          <w:tcPr>
            <w:tcW w:type="dxa" w:w="2448"/>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Course concept</w:t>
            </w:r>
          </w:p>
        </w:tc>
        <w:tc>
          <w:tcPr>
            <w:tcW w:type="dxa" w:w="3672"/>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Mauli application</w:t>
            </w:r>
          </w:p>
        </w:tc>
        <w:tc>
          <w:tcPr>
            <w:tcW w:type="dxa" w:w="3024"/>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Limitation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Retail evolution continuum</w:t>
              <w:br/>
              <w:t>L1 slide 19</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Layer guidance and new discovery entrypoints onto Shopify and physical partners.</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Interface adoption is not proof that a replacement pays back.</w:t>
            </w:r>
          </w:p>
        </w:tc>
      </w:tr>
      <w:tr>
        <w:trPr>
          <w:cantSplit/>
        </w:trPr>
        <w:tc>
          <w:tcPr>
            <w:tcW w:type="dxa" w:w="244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Consumer Decision Journey</w:t>
              <w:br/>
              <w:t>L2 slides 5–8</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Connect active evaluation with post-use continuation and the next trigger.</w:t>
            </w:r>
          </w:p>
        </w:tc>
        <w:tc>
          <w:tcPr>
            <w:tcW w:type="dxa" w:w="302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Actual paths require observation; a diagram does not prove the leak.</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Micro moments</w:t>
              <w:br/>
              <w:t>L2 slides 9–10</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Know: explain a ritual; do: show one step; buy: give total cost; go: direct to an authorised experience.</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The same person can switch needs during a session.</w:t>
            </w:r>
          </w:p>
        </w:tc>
      </w:tr>
      <w:tr>
        <w:trPr>
          <w:cantSplit/>
        </w:trPr>
        <w:tc>
          <w:tcPr>
            <w:tcW w:type="dxa" w:w="244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ELM and Fogg</w:t>
              <w:br/>
              <w:t>L2 slides 11–14</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Pair credible facts with sensory recognition; simplify the action and time a useful prompt.</w:t>
            </w:r>
          </w:p>
        </w:tc>
        <w:tc>
          <w:tcPr>
            <w:tcW w:type="dxa" w:w="302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Do not infer persuasion route from ethnicity or age alone.</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Personalisation maturity</w:t>
              <w:br/>
              <w:t>L2 slides 27–31</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Begin with explicit preferences, transparent rules and reviewed item attributes.</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No evidence yet supports a production predictive or agentic maturity claim.</w:t>
            </w:r>
          </w:p>
        </w:tc>
      </w:tr>
      <w:tr>
        <w:trPr>
          <w:cantSplit/>
        </w:trPr>
        <w:tc>
          <w:tcPr>
            <w:tcW w:type="dxa" w:w="244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Sensory behaviour loop</w:t>
              <w:br/>
              <w:t>L3 page 4</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Connect thread stimulus, understandable instruction, remembered practice and measured behaviour.</w:t>
            </w:r>
          </w:p>
        </w:tc>
        <w:tc>
          <w:tcPr>
            <w:tcW w:type="dxa" w:w="3024"/>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Emotion and memory cannot be read from clicks; no affect inference is needed.</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Truth structure consensus</w:t>
              <w:br/>
              <w:t>L4 slides 8 and 16</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Correct canonical facts, expose readable answers and seek authentic independent evidence.</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Schema and llms.txt do not guarantee citation or recommendation.</w:t>
            </w:r>
          </w:p>
        </w:tc>
      </w:tr>
    </w:tbl>
    <w:p>
      <w:pPr>
        <w:spacing w:after="0"/>
      </w:pPr>
    </w:p>
    <w:p>
      <w:pPr>
        <w:pStyle w:val="Heading2"/>
      </w:pPr>
      <w:r>
        <w:t>Using the physics lens critically</w:t>
      </w:r>
    </w:p>
    <w:p>
      <w:pPr/>
      <w:r>
        <w:t>The physics deck maps determinism, randomness and value networks to commerce. Its useful managerial lesson is to examine the environment that makes an action possible: stock, guidance, partners, content and fulfilment. Its stronger claim that complete data makes purchase inevitable is an analogy, not an established causal law about Mauli customers. We retain probability, agency and the right to decline. Scenario testing addresses shocks without claiming to predict an individual’s next purchase. [L5, slides 4–10, 13]</w:t>
      </w:r>
    </w:p>
    <w:p>
      <w:pPr/>
      <w:r>
        <w:t>The diffusion framework adds a feasibility test: relative advantage, compatibility, complexity, trialability and observability. An optional flow is easier to trial than a platform migration; usefulness must be observable to customers and commercial owners. The canonical adopter shares are not a segment-size estimate for this brand. [L1, slide 26]</w:t>
      </w:r>
    </w:p>
    <w:p>
      <w:r>
        <w:br w:type="page"/>
      </w:r>
    </w:p>
    <w:p>
      <w:pPr>
        <w:pStyle w:val="Heading1"/>
      </w:pPr>
      <w:r>
        <w:t>Appendix B Three audience umbrellas</w:t>
      </w:r>
    </w:p>
    <w:p>
      <w:pPr/>
      <w:r>
        <w:t>These are research hypotheses grounded in supplied positioning and the owner’s confirmed grouping. Four fictional persona examples sit within three umbrellas. They are not measured clusters, actual customers or demographic targeting instructions. [C1, pp. 4–5; R1]</w:t>
      </w:r>
    </w:p>
    <w:p>
      <w:pPr>
        <w:pStyle w:val="Heading2"/>
      </w:pPr>
      <w:r>
        <w:t>Cultural reconnection</w:t>
      </w:r>
    </w:p>
    <w:p>
      <w:pPr/>
      <w:r>
        <w:t>Anika is an illustrative abroad-born South Asian adult who voluntarily wants heritage to have a place in daily life. A familiar hair-oiling practice may offer a meaningful entrypoint; gifting and cultural exploration are occasions within this umbrella. Her potential emotional trigger is connection, while rational needs include understandable instructions, sourcing, total price and practical suitability. Research must ask how she describes that meaning herself, and whether it changes behaviour or only appreciation.</w:t>
      </w:r>
    </w:p>
    <w:p>
      <w:pPr/>
      <w:r>
        <w:t>The owner’s shorthand “ABCD” refers to “abroad-born confused desi”; it can sound pejorative and is not used as a customer-facing label. Desi commonly denotes a connection to South Asian people and cultures, with varied individual meanings. People born abroad with other heritage connections may relate to the same broader job. Nationality, religion, language, income and cultural knowledge cannot be inferred from the shorthand. A respectful opt-in question is: “Is there a tradition or practice you would like this ritual to connect with?”</w:t>
      </w:r>
    </w:p>
    <w:p>
      <w:pPr>
        <w:pStyle w:val="Heading2"/>
      </w:pPr>
      <w:r>
        <w:t>Repeated home ritual</w:t>
      </w:r>
    </w:p>
    <w:p>
      <w:pPr/>
      <w:r>
        <w:t>Alex is an illustrative guest or routine builder seeking a feasible practice after an enjoyable treatment or how-to encounter. The job is continuation within time, space and budget constraints. Potential emotion is retaining a valued moment; the rational test is whether the step is clear, attainable and worth repeating. A spa is a candidate trust entrypoint, not a requirement. Disconfirm the profile if the experience depends on the therapist or setting and does not transfer home.</w:t>
      </w:r>
    </w:p>
    <w:p>
      <w:pPr>
        <w:pStyle w:val="Heading2"/>
      </w:pPr>
      <w:r>
        <w:t>Premium consumer and luxury account fit</w:t>
      </w:r>
    </w:p>
    <w:p>
      <w:pPr/>
      <w:r>
        <w:t>Maya is an illustrative premium buyer comparing product fit, evidence, sensory preference and value for a declared concern. Sam is an illustrative account champion at a luxury spa, retailer or hospitality business comparing differentiation, staff training, supply reliability and contribution. They share a quality umbrella but remain separate buying units. Do not average their CAC, activation rates or customer value.</w:t>
      </w:r>
    </w:p>
    <w:tbl>
      <w:tblPr>
        <w:tblW w:type="auto" w:w="0"/>
        <w:tblLayout w:type="fixed"/>
        <w:tblLook w:firstColumn="1" w:firstRow="1" w:lastColumn="0" w:lastRow="0" w:noHBand="0" w:noVBand="1" w:val="04A0"/>
      </w:tblPr>
      <w:tblGrid>
        <w:gridCol w:w="4536"/>
        <w:gridCol w:w="4608"/>
      </w:tblGrid>
      <w:tr>
        <w:trPr>
          <w:tblHeader/>
          <w:cantSplit/>
        </w:trPr>
        <w:tc>
          <w:tcPr>
            <w:tcW w:type="dxa" w:w="4536"/>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Consumer qualification</w:t>
            </w:r>
          </w:p>
        </w:tc>
        <w:tc>
          <w:tcPr>
            <w:tcW w:type="dxa" w:w="4608"/>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Account qualification</w:t>
            </w:r>
          </w:p>
        </w:tc>
      </w:tr>
      <w:tr>
        <w:trPr>
          <w:cantSplit/>
        </w:trPr>
        <w:tc>
          <w:tcPr>
            <w:tcW w:type="dxa" w:w="45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Expressed need, category familiarity, time, product constraints, sensory preference and price considerations.</w:t>
            </w:r>
          </w:p>
        </w:tc>
        <w:tc>
          <w:tcPr>
            <w:tcW w:type="dxa" w:w="46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Business type, market, relevant treatments or assortment, buying authority, expected volume and replenishment.</w:t>
            </w:r>
          </w:p>
        </w:tc>
      </w:tr>
      <w:tr>
        <w:trPr>
          <w:cantSplit/>
        </w:trPr>
        <w:tc>
          <w:tcPr>
            <w:tcW w:type="dxa" w:w="453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Facts, realistic use, direct comparison and voluntary guidance support confidence.</w:t>
            </w:r>
          </w:p>
        </w:tc>
        <w:tc>
          <w:tcPr>
            <w:tcW w:type="dxa" w:w="460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Commercial terms, training time, service burden, stock reliability and payment terms support a pilot.</w:t>
            </w:r>
          </w:p>
        </w:tc>
      </w:tr>
    </w:tbl>
    <w:p>
      <w:pPr>
        <w:spacing w:after="0"/>
      </w:pPr>
    </w:p>
    <w:p>
      <w:pPr/>
      <w:r>
        <w:t>Interview across levels of Ayurveda familiarity and purchase experience. Ask for recent actual choices rather than agreement with polished concepts. Test a reason to choose, a reason to decline and a no-purchase outcome. Refine qualification from behaviour and expressed needs; do not assign a demographic story to every Mauli buyer.</w:t>
      </w:r>
    </w:p>
    <w:p>
      <w:r>
        <w:br w:type="page"/>
      </w:r>
    </w:p>
    <w:p>
      <w:pPr>
        <w:pStyle w:val="Heading1"/>
      </w:pPr>
      <w:r>
        <w:t>Appendix C Channel entrypoints and activation</w:t>
      </w:r>
    </w:p>
    <w:p>
      <w:pPr/>
      <w:r>
        <w:t>The repository channel inventory records public page observations on 10 October 2026 and supplied classroom claims. Listing a partner is not evidence of a current contract, treatment availability or profitable relationship. Obtain partner agreement before proposing a measurable handoff. [R2]</w:t>
      </w:r>
    </w:p>
    <w:tbl>
      <w:tblPr>
        <w:tblW w:type="auto" w:w="0"/>
        <w:tblLayout w:type="fixed"/>
        <w:tblLook w:firstColumn="1" w:firstRow="1" w:lastColumn="0" w:lastRow="0" w:noHBand="0" w:noVBand="1" w:val="04A0"/>
      </w:tblPr>
      <w:tblGrid>
        <w:gridCol w:w="2016"/>
        <w:gridCol w:w="3672"/>
        <w:gridCol w:w="3456"/>
      </w:tblGrid>
      <w:tr>
        <w:trPr>
          <w:tblHeader/>
          <w:cantSplit/>
        </w:trPr>
        <w:tc>
          <w:tcPr>
            <w:tcW w:type="dxa" w:w="2016"/>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Entry</w:t>
            </w:r>
          </w:p>
        </w:tc>
        <w:tc>
          <w:tcPr>
            <w:tcW w:type="dxa" w:w="3672"/>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Candidate useful next step</w:t>
            </w:r>
          </w:p>
        </w:tc>
        <w:tc>
          <w:tcPr>
            <w:tcW w:type="dxa" w:w="3456"/>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Evidence or dependency</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Owned product or collection page</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Choose an understood use step or browse directly.</w:t>
            </w:r>
          </w:p>
        </w:tc>
        <w:tc>
          <w:tcPr>
            <w:tcW w:type="dxa" w:w="34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Store structure observed; behavioural friction unmeasured.</w:t>
            </w:r>
          </w:p>
        </w:tc>
      </w:tr>
      <w:tr>
        <w:trPr>
          <w:cantSplit/>
        </w:trPr>
        <w:tc>
          <w:tcPr>
            <w:tcW w:type="dxa" w:w="201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Dosha education</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Read the result and choose feasible guidance.</w:t>
            </w:r>
          </w:p>
        </w:tc>
        <w:tc>
          <w:tcPr>
            <w:tcW w:type="dxa" w:w="345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Quiz entry observed; current scoring and journey need audit.</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Journal or organic search</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Answer the question before inviting a related ritual.</w:t>
            </w:r>
          </w:p>
        </w:tc>
        <w:tc>
          <w:tcPr>
            <w:tcW w:type="dxa" w:w="34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Content exists; query mix and assisted contribution unknown.</w:t>
            </w:r>
          </w:p>
        </w:tc>
      </w:tr>
      <w:tr>
        <w:trPr>
          <w:cantSplit/>
        </w:trPr>
        <w:tc>
          <w:tcPr>
            <w:tcW w:type="dxa" w:w="201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Social or live content</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Watch instruction and enter the same discovery flow.</w:t>
            </w:r>
          </w:p>
        </w:tc>
        <w:tc>
          <w:tcPr>
            <w:tcW w:type="dxa" w:w="345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Campaign proposal; content owner and rights required.</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Lifecycle email</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Optional practice support with clear opt-out.</w:t>
            </w:r>
          </w:p>
        </w:tc>
        <w:tc>
          <w:tcPr>
            <w:tcW w:type="dxa" w:w="34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Reported opens do not show use or profitable repeat.</w:t>
            </w:r>
          </w:p>
        </w:tc>
      </w:tr>
      <w:tr>
        <w:trPr>
          <w:cantSplit/>
        </w:trPr>
        <w:tc>
          <w:tcPr>
            <w:tcW w:type="dxa" w:w="201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Spa or stockist encounter</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Voluntary partner-approved continuation link.</w:t>
            </w:r>
          </w:p>
        </w:tc>
        <w:tc>
          <w:tcPr>
            <w:tcW w:type="dxa" w:w="345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Training, terms and reliable exposure denominator required.</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Business enquiry</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Qualified account agrees a defined sample or pilot.</w:t>
            </w:r>
          </w:p>
        </w:tc>
        <w:tc>
          <w:tcPr>
            <w:tcW w:type="dxa" w:w="34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Authority, fit, volume, commercial terms and owner required.</w:t>
            </w:r>
          </w:p>
        </w:tc>
      </w:tr>
      <w:tr>
        <w:trPr>
          <w:cantSplit/>
        </w:trPr>
        <w:tc>
          <w:tcPr>
            <w:tcW w:type="dxa" w:w="201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AI answer interface</w:t>
            </w:r>
          </w:p>
        </w:tc>
        <w:tc>
          <w:tcPr>
            <w:tcW w:type="dxa" w:w="3672"/>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Correct information and a traceable visit where observable.</w:t>
            </w:r>
          </w:p>
        </w:tc>
        <w:tc>
          <w:tcPr>
            <w:tcW w:type="dxa" w:w="345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Prompt panel and product-fact audit required.</w:t>
            </w:r>
          </w:p>
        </w:tc>
      </w:tr>
    </w:tbl>
    <w:p>
      <w:pPr>
        <w:spacing w:after="0"/>
      </w:pPr>
    </w:p>
    <w:p>
      <w:pPr>
        <w:pStyle w:val="Heading2"/>
      </w:pPr>
      <w:r>
        <w:t>D2C AAARRR event map</w:t>
      </w:r>
    </w:p>
    <w:p>
      <w:pPr/>
      <w:r>
        <w:t>Awareness is an attributable exposure where observable; acquisition is a valid journey entry; activation is choosing or saving a step after its explanation. Revenue is a reconciled valid order. Retention is measured separately as matured repeat purchase and voluntary reported practice. Referral is an attributable customer-introduced visit or buyer, with its attribution rule disclosed. Do not use all website sessions as a denominator for a flow only some visitors were eligible to see.</w:t>
      </w:r>
    </w:p>
    <w:p>
      <w:pPr>
        <w:pStyle w:val="Heading2"/>
      </w:pPr>
      <w:r>
        <w:t>B2B AAARRR event map</w:t>
      </w:r>
    </w:p>
    <w:p>
      <w:pPr/>
      <w:r>
        <w:t>Awareness is a relevant account encounter; acquisition is a logged business enquiry; activation is a qualified account agreeing a defined sample or pilot. Revenue is a valid commercial order on the specified recognition basis. Retention is account reorder within an agreed maturation window. Referral is a separately attributable account introduction. Track opportunity stages and service costs rather than consumer clicks. A guest’s D2C order is a separate relationship.</w:t>
      </w:r>
    </w:p>
    <w:p>
      <w:pPr/>
      <w:r>
        <w:t>AAARRR helps organise events but does not resolve causality. The Consumer Decision Journey remains the behavioural interpretation: visitors can return, compare elsewhere or purchase through a partner. Report attributable outcomes as observed associations unless an experiment supports an incremental effect. [L2, slides 5–8, 38]</w:t>
      </w:r>
    </w:p>
    <w:p>
      <w:r>
        <w:br w:type="page"/>
      </w:r>
    </w:p>
    <w:p>
      <w:pPr>
        <w:pStyle w:val="Heading1"/>
      </w:pPr>
      <w:r>
        <w:t>Appendix D Workflow and prototype test</w:t>
      </w:r>
    </w:p>
    <w:p>
      <w:pPr>
        <w:pStyle w:val="Heading2"/>
      </w:pPr>
      <w:r>
        <w:t>The single demonstration workflow</w:t>
      </w:r>
    </w:p>
    <w:p>
      <w:pPr/>
      <w:r>
        <w:t>Human-led education or owned content → optional discovery entry → three to five preference questions → explained ritual step and reviewed product facts → direct browsing or optional save → optional consented follow-up → day 21 practice question. A price-conscious visitor can choose one starter or a product-free practice; a knowledgeable shopper can skip guidance. The question count is a design assumption to test, not an established optimum.</w:t>
      </w:r>
    </w:p>
    <w:p>
      <w:pPr>
        <w:pStyle w:val="Heading2"/>
      </w:pPr>
      <w:r>
        <w:t>How the recommendation is produced</w:t>
      </w:r>
    </w:p>
    <w:p>
      <w:pPr/>
      <w:r>
        <w:t>For the initial demonstrator, encode a small approved catalogue: product identifier, category, intended use, sensory attributes, instructions, limits, total price and source date. Match declared preferences to approved tags, then apply eligibility and diversity rules. Explain each match in readable language. A “no suitable match” response and direct catalogue route are valid outcomes. The circular chord is an explanatory visual over the same rules, not a second engine.</w:t>
      </w:r>
    </w:p>
    <w:p>
      <w:pPr/>
      <w:r>
        <w:t>Use only fictional demonstration preferences; do not retain health history, ethnicity, religion, voice recordings or free-text dosha answers. A real pilot requires client-owned consent, retention and support processes. Human review is necessary for wellness language. The first demonstration must not perform payment, diagnose a constitution clinically, or imply therapeutic efficacy. [L2, slides 30–31, 34–36]</w:t>
      </w:r>
    </w:p>
    <w:p>
      <w:pPr>
        <w:pStyle w:val="Heading2"/>
      </w:pPr>
      <w:r>
        <w:t>A modest formative study</w:t>
      </w:r>
    </w:p>
    <w:p>
      <w:pPr/>
      <w:r>
        <w:t>Recruit a small varied usability group with consent, including participants unfamiliar with Ayurveda and people with different accessibility needs. Numbers are to be agreed by the team; this stage identifies comprehension problems rather than estimates conversion uplift. Give each participant the same task: find a feasible step, explain why it fits, identify price and constraints, and show how to decline or browse directly. Observe hesitation and errors without coaching.</w:t>
      </w:r>
    </w:p>
    <w:tbl>
      <w:tblPr>
        <w:tblW w:type="auto" w:w="0"/>
        <w:tblLayout w:type="fixed"/>
        <w:tblLook w:firstColumn="1" w:firstRow="1" w:lastColumn="0" w:lastRow="0" w:noHBand="0" w:noVBand="1" w:val="04A0"/>
      </w:tblPr>
      <w:tblGrid>
        <w:gridCol w:w="2376"/>
        <w:gridCol w:w="6768"/>
      </w:tblGrid>
      <w:tr>
        <w:trPr>
          <w:tblHeader/>
          <w:cantSplit/>
        </w:trPr>
        <w:tc>
          <w:tcPr>
            <w:tcW w:type="dxa" w:w="2376"/>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Test</w:t>
            </w:r>
          </w:p>
        </w:tc>
        <w:tc>
          <w:tcPr>
            <w:tcW w:type="dxa" w:w="6768"/>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Evidence and response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Recommendation understanding</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Participant accurately explains the matching reason and at least one relevant limit; revise confusing wording.</w:t>
            </w:r>
          </w:p>
        </w:tc>
      </w:tr>
      <w:tr>
        <w:trPr>
          <w:cantSplit/>
        </w:trPr>
        <w:tc>
          <w:tcPr>
            <w:tcW w:type="dxa" w:w="237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Feasible practice</w:t>
            </w:r>
          </w:p>
        </w:tc>
        <w:tc>
          <w:tcPr>
            <w:tcW w:type="dxa" w:w="676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Participant can describe when and how they would do the step; reduce steps if burden is excessive.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Accessibility</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Keyboard and readable text complete the same task; reduced motion retains meaning.</w:t>
            </w:r>
          </w:p>
        </w:tc>
      </w:tr>
      <w:tr>
        <w:trPr>
          <w:cantSplit/>
        </w:trPr>
        <w:tc>
          <w:tcPr>
            <w:tcW w:type="dxa" w:w="237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Trust and autonomy</w:t>
            </w:r>
          </w:p>
        </w:tc>
        <w:tc>
          <w:tcPr>
            <w:tcW w:type="dxa" w:w="676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Participant can locate facts, change preferences, skip and opt out; remove surprise gates.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Optional voice comparison</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Only after text works: compare accuracy, time, usefulness and cost with the same tasks.</w:t>
            </w:r>
          </w:p>
        </w:tc>
      </w:tr>
    </w:tbl>
    <w:p>
      <w:pPr>
        <w:spacing w:after="0"/>
      </w:pPr>
    </w:p>
    <w:p>
      <w:pPr/>
      <w:r>
        <w:t>Report participants, protocol, observed failures and revisions. Record no fabricated completion rates or testimonials. A successful classroom demonstration shows a comprehensible interaction; it does not establish integration feasibility or live commercial benefit.</w:t>
      </w:r>
    </w:p>
    <w:p>
      <w:r>
        <w:br w:type="page"/>
      </w:r>
    </w:p>
    <w:p>
      <w:pPr>
        <w:pStyle w:val="Heading1"/>
      </w:pPr>
      <w:r>
        <w:t>Appendix E Metric protocol and experiment design</w:t>
      </w:r>
    </w:p>
    <w:p>
      <w:pPr>
        <w:pStyle w:val="Heading2"/>
      </w:pPr>
      <w:r>
        <w:t>Ritual Continuation Rate at day 21</w:t>
      </w:r>
    </w:p>
    <w:p>
      <w:pPr/>
      <w:r>
        <w:t>Invitation copy proposal: “You chose a ritual step three weeks ago. During the last seven days, on how many separate days did you practise it? 0 / 1 / 2 / 3 / 4 / 5 / 6 / 7 / prefer not to answer.” A second optional item asks whether the guidance was understandable. Neither asks whether a medical condition improved. A purchase, larger basket or expanded routine does not substitute for a practice response.</w:t>
      </w:r>
    </w:p>
    <w:p>
      <w:pPr/>
      <w:r>
        <w:t>Use one eligible recipient per protocol, anchored to the first qualifying step selection. Prespecify how repeat selections, duplicate responses, invalid answers and late responses are handled. A respondent who selects “prefer not to answer” is not a valid practice answer; show that count. Deduplicate with a client-owned opaque identifier in a restricted system. Publish only aggregate counts; restricted join keys and customer contact data do not belong in this public repository.</w:t>
      </w:r>
    </w:p>
    <w:p>
      <w:pPr/>
      <w:r>
        <w:t>RCR21 = respondents reporting at least three separate practice days in the prior seven days ÷ eligible respondents providing a valid day count. Coverage = valid day-count respondents ÷ delivered eligible invitations. Delivery coverage = delivered invitations ÷ all eligible consented invitees. Show all numerators and denominators, selection dates, response window, definition version and sample size. If no valid responses exist, display “not available”, not zero.</w:t>
      </w:r>
    </w:p>
    <w:p>
      <w:pPr>
        <w:pStyle w:val="Heading2"/>
      </w:pPr>
      <w:r>
        <w:t>Interpretation and decision</w:t>
      </w:r>
    </w:p>
    <w:p>
      <w:pPr/>
      <w:r>
        <w:t>There is no current baseline, target or validated threshold. Compare protocol-consistent groups and report uncertainty; do not rank cultural identities. Investigate whether changed invitation delivery or response selection explains the difference. If practice rises but contribution deteriorates, reduce operating cost or refine the offer before expansion. If contribution rises but understanding falls or complaints grow, review the intervention before scaling. The metric changes the guidance design decision rather than claiming health benefit.</w:t>
      </w:r>
    </w:p>
    <w:p>
      <w:pPr>
        <w:pStyle w:val="Heading2"/>
      </w:pPr>
      <w:r>
        <w:t>A live causal test</w:t>
      </w:r>
    </w:p>
    <w:p>
      <w:pPr/>
      <w:r>
        <w:t>Randomise eligible visitors to the existing and enhanced journeys where client infrastructure permits, keeping assignment stable and checking exposure. Define one primary outcome and an analysis window before launch; calculate sample requirements from the actual baseline and minimum useful effect. A low-traffic pilot may be informative about usability while inconclusive about profit. No arbitrary sample size or significant uplift is promised. If partner clusters are used, account for clustering and contamination.</w:t>
      </w:r>
    </w:p>
    <w:p>
      <w:pPr/>
      <w:r>
        <w:t>Log assignment, eligibility, entry source, recommendation impression, explained step selection, purchase, costs and follow-up delivery. Use intention-to-treat for the main assigned-group comparison and label per-completer analyses separately. Review guardrails throughout, but do not repeatedly declare success from interim noise. Stop immediately for unsupported clinical advice or a material privacy/accessibility failure; commercial stop thresholds require a client-approved ceiling. [L2, slides 36, 38; R3]</w:t>
      </w:r>
    </w:p>
    <w:p>
      <w:r>
        <w:br w:type="page"/>
      </w:r>
    </w:p>
    <w:p>
      <w:pPr>
        <w:pStyle w:val="Heading1"/>
      </w:pPr>
      <w:r>
        <w:t>Appendix F Discovery and cultural sensory continuity</w:t>
      </w:r>
    </w:p>
    <w:p>
      <w:pPr>
        <w:pStyle w:val="Heading2"/>
      </w:pPr>
      <w:r>
        <w:t>A repeatable answer audit</w:t>
      </w:r>
    </w:p>
    <w:p>
      <w:pPr/>
      <w:r>
        <w:t>Apply the lecture’s Truth, Structure, Consensus and Narrative layers to one product and its related ritual. Verify canonical price, stock, ingredients, use, constraints and attribution; show readable dated text and inspect existing structured data before adding more. Genuine third-party evidence can corroborate claims but must not be fabricated or seeded deceptively. Maintain SEO alongside answer-engine monitoring: the course’s shift in interface is a planning hypothesis, not proof that search clicks cease to matter. [L4, slides 4, 8, 14–17]</w:t>
      </w:r>
    </w:p>
    <w:p>
      <w:pPr/>
      <w:r>
        <w:t>Construct a fixed question panel across product comparison, practical instruction, cultural context, replenishment and local experience. Include a neutral question, a constraint question and an adversarial medical request. Record prompt, platform, date, mode, region, full response, citations and repeat number. Run repeated observations because answers drift. Score inclusion, source citation, fact accuracy, unsupported claims and observable referrals separately; do not combine them into an unexplained visibility score.</w:t>
      </w:r>
    </w:p>
    <w:p>
      <w:pPr/>
      <w:r>
        <w:t>Illustrative prompt: “I want a simple evening body ritual with a clear total product price and no more than five minutes of preparation. What does Mauli recommend and where can I verify the instructions?” The time constraint is illustrative, not a claim about an existing product. Score against reviewed current facts, with explicit unknowns. An answer naming Mauli but inventing a benefit is a trust failure, not a discovery win.</w:t>
      </w:r>
    </w:p>
    <w:p>
      <w:pPr>
        <w:pStyle w:val="Heading2"/>
      </w:pPr>
      <w:r>
        <w:t>Carry sensory meaning without claiming digital replication</w:t>
      </w:r>
    </w:p>
    <w:p>
      <w:pPr/>
      <w:r>
        <w:t>The sensory loop gives a way to plan stimulus, perception, emotion, memory and behaviour. Our proposed thread supplies a distinctive visual connection; close instruction and descriptive language make the meaning legible; a practitioner encounter can provide physical scent and touch. The website cannot transmit those senses. Optional sound must be controllable, transcripted and useful rather than automatically playing. Context comes from what the visitor chooses to share, not inferred sensitive states. [L3, pp. 4, 13–17, 22–24]</w:t>
      </w:r>
    </w:p>
    <w:p>
      <w:pPr/>
      <w:r>
        <w:t>Review cultural language with the founder and people with varied familiarity. Explain the thread’s supplied meaning and origin without presenting one individual’s experience as a universal South Asian tradition. Avoid treating unfamiliar international classmates as deficient; give a clear entry explanation and an optional deeper account. Cultural curiosity can be a motivation without becoming the brand’s exact existing ICP.</w:t>
      </w:r>
    </w:p>
    <w:p>
      <w:pPr>
        <w:pStyle w:val="Heading2"/>
      </w:pPr>
      <w:r>
        <w:t>What remains uncertain</w:t>
      </w:r>
    </w:p>
    <w:p>
      <w:pPr/>
      <w:r>
        <w:t>Lecture vendor figures, platform examples and claims that schema or llms.txt move citations are not treated as causal guarantees. Eligibility, crawler policies, feed compatibility and current vendor terms must be checked before implementation. The team’s previous one-run AI observations lack sufficient raw runs and repetition for a stable KPI. The immediate deliverable is an evidence-preserving protocol, not a claim that Mauli has already improved its visibility. [L4, slides 14–16; R5]</w:t>
      </w:r>
    </w:p>
    <w:p>
      <w:r>
        <w:br w:type="page"/>
      </w:r>
    </w:p>
    <w:p>
      <w:pPr>
        <w:pStyle w:val="Heading1"/>
      </w:pPr>
      <w:r>
        <w:t>Appendix G Financial validation and decision gates</w:t>
      </w:r>
    </w:p>
    <w:p>
      <w:pPr>
        <w:pStyle w:val="Heading2"/>
      </w:pPr>
      <w:r>
        <w:t>Use the existing models as templates</w:t>
      </w:r>
    </w:p>
    <w:p>
      <w:pPr/>
      <w:r>
        <w:t>The repository contains customer economics and financial scenario workbooks; a local merged Foresight workbook retains the supplied forecasting and unit-economics templates with additional model sheets. These tools organise assumptions, costs and comparisons. The scenario demonstration values are fictional, and the classroom £87 AOV has unresolved net/gross, market and period definitions. Do not show illustrative model outputs as a client budget or expected uplift. [R4]</w:t>
      </w:r>
    </w:p>
    <w:p>
      <w:pPr>
        <w:pStyle w:val="Heading2"/>
      </w:pPr>
      <w:r>
        <w:t>Calibrate the baseline first</w:t>
      </w:r>
    </w:p>
    <w:p>
      <w:pPr/>
      <w:r>
        <w:t>Request aggregate monthly sales, discounts, refunds, tax, retained shipping income, valid orders and new/returning buyer definitions. Reconcile costs across products, fulfilment, packaging, payment, commissions and variable support. Obtain acquisition spend and attribution rules without summing overlapping platform claims. For partners, keep orders, payment terms, training, service and delivery separate. Obtain matured cohort counts before modelling repeat behaviour. [R3]</w:t>
      </w:r>
    </w:p>
    <w:tbl>
      <w:tblPr>
        <w:tblW w:type="auto" w:w="0"/>
        <w:tblLayout w:type="fixed"/>
        <w:tblLook w:firstColumn="1" w:firstRow="1" w:lastColumn="0" w:lastRow="0" w:noHBand="0" w:noVBand="1" w:val="04A0"/>
      </w:tblPr>
      <w:tblGrid>
        <w:gridCol w:w="2376"/>
        <w:gridCol w:w="6768"/>
      </w:tblGrid>
      <w:tr>
        <w:trPr>
          <w:tblHeader/>
          <w:cantSplit/>
        </w:trPr>
        <w:tc>
          <w:tcPr>
            <w:tcW w:type="dxa" w:w="2376"/>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Model decision</w:t>
            </w:r>
          </w:p>
        </w:tc>
        <w:tc>
          <w:tcPr>
            <w:tcW w:type="dxa" w:w="6768"/>
            <w:vAlign w:val="center"/>
            <w:tcBorders>
              <w:top w:val="single" w:sz="4" w:color="D9D9D9"/>
              <w:left w:val="single" w:sz="4" w:color="D9D9D9"/>
              <w:bottom w:val="single" w:sz="4" w:color="D9D9D9"/>
              <w:right w:val="single" w:sz="4" w:color="D9D9D9"/>
            </w:tcBorders>
            <w:shd w:fill="333333"/>
            <w:tcMar>
              <w:top w:w="80" w:type="dxa"/>
              <w:left w:w="80" w:type="dxa"/>
              <w:bottom w:w="80" w:type="dxa"/>
              <w:right w:w="80" w:type="dxa"/>
            </w:tcMar>
          </w:tcPr>
          <w:p>
            <w:pPr>
              <w:spacing w:after="40" w:line="250" w:lineRule="auto"/>
            </w:pPr>
            <w:r>
              <w:rPr>
                <w:b/>
                <w:color w:val="FFFFFF"/>
                <w:sz w:val="19"/>
              </w:rPr>
              <w:t>Required treatment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No recommendation baseline</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Continue existing operations, costs and seasonality; do not set baseline sales to zero.</w:t>
            </w:r>
          </w:p>
        </w:tc>
      </w:tr>
      <w:tr>
        <w:trPr>
          <w:cantSplit/>
        </w:trPr>
        <w:tc>
          <w:tcPr>
            <w:tcW w:type="dxa" w:w="237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Intervention benefit</w:t>
            </w:r>
          </w:p>
        </w:tc>
        <w:tc>
          <w:tcPr>
            <w:tcW w:type="dxa" w:w="676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Separate traffic, conversion, net basket, repeat and partner effects; avoid multiplying unsupported lifts.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Full cost</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Setup, review, integration, content, measurement, labour, support, partner training and optional voice.</w:t>
            </w:r>
          </w:p>
        </w:tc>
      </w:tr>
      <w:tr>
        <w:trPr>
          <w:cantSplit/>
        </w:trPr>
        <w:tc>
          <w:tcPr>
            <w:tcW w:type="dxa" w:w="2376"/>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Cash and risk</w:t>
            </w:r>
          </w:p>
        </w:tc>
        <w:tc>
          <w:tcPr>
            <w:tcW w:type="dxa" w:w="6768"/>
            <w:vAlign w:val="center"/>
            <w:tcBorders>
              <w:top w:val="single" w:sz="4" w:color="D9D9D9"/>
              <w:left w:val="single" w:sz="4" w:color="D9D9D9"/>
              <w:bottom w:val="single" w:sz="4" w:color="D9D9D9"/>
              <w:right w:val="single" w:sz="4" w:color="D9D9D9"/>
            </w:tcBorders>
            <w:shd w:fill="F3F3F3"/>
            <w:tcMar>
              <w:top w:w="80" w:type="dxa"/>
              <w:left w:w="80" w:type="dxa"/>
              <w:bottom w:w="80" w:type="dxa"/>
              <w:right w:w="80" w:type="dxa"/>
            </w:tcMar>
          </w:tcPr>
          <w:p>
            <w:pPr>
              <w:spacing w:after="40" w:line="250" w:lineRule="auto"/>
            </w:pPr>
            <w:r>
              <w:rPr>
                <w:b w:val="0"/>
                <w:color w:val="000000"/>
                <w:sz w:val="19"/>
              </w:rPr>
              <w:t>Rollout delay, refunds, stock, collection timing and peak funding; inspect downside with costs and no benefit.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Contribution based value</w:t>
            </w:r>
          </w:p>
        </w:tc>
        <w:tc>
          <w:tcPr>
            <w:tcW w:type="dxa" w:w="67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0" w:lineRule="auto"/>
            </w:pPr>
            <w:r>
              <w:rPr>
                <w:b w:val="0"/>
                <w:color w:val="000000"/>
                <w:sz w:val="19"/>
              </w:rPr>
              <w:t>Use consistent customer/account units and observation windows; avoid deducting acquisition twice.</w:t>
            </w:r>
          </w:p>
        </w:tc>
      </w:tr>
    </w:tbl>
    <w:p>
      <w:pPr>
        <w:spacing w:after="0"/>
      </w:pPr>
    </w:p>
    <w:p>
      <w:pPr>
        <w:pStyle w:val="Heading2"/>
      </w:pPr>
      <w:r>
        <w:t>Decision gates</w:t>
      </w:r>
    </w:p>
    <w:p>
      <w:pPr/>
      <w:r>
        <w:t>Gate 1: data definitions reconcile and a named owner can maintain facts and events. Gate 2: customers understand the interaction and can decline. Gate 3: a client-approved pilot ceiling, assignment design and support process are in place. Gate 4: observed or plausibly bounded incremental contribution supports expansion, with ritual, trust and workload guardrails acceptable. Failure at a gate should narrow or defer the proposal rather than prompt more features.</w:t>
      </w:r>
    </w:p>
    <w:p>
      <w:pPr/>
      <w:r>
        <w:t>The scenario workbook can ask how much benefit is needed to cover costs and when cumulative cash recovers investment. It does not include every financing, tax or working-capital effect; obtain financial-owner review before treating its cash proxy as a complete finance forecast. Downside, base and upside are alternatives, not confidence intervals or estimated probabilities. A higher revenue line is insufficient if contribution and cash remain negative.</w:t>
      </w:r>
    </w:p>
    <w:p>
      <w:pPr>
        <w:pStyle w:val="Heading2"/>
      </w:pPr>
      <w:r>
        <w:t>Team review before submission</w:t>
      </w:r>
    </w:p>
    <w:p>
      <w:pPr/>
      <w:r>
        <w:t>Confirm whether the proposed home-ritual journey is the team’s priority, validate the three ICP umbrellas, agree signature metric wording, inspect current quiz friction, review cultural and wellness language, and reconcile the budget approach. Name workstream owners, merge the report and pitch narrative, and rehearse to the hard six-minute limit. Feedback, grade and live pilot results remain future evidence, not content to invent.</w:t>
      </w:r>
    </w:p>
    <w:p>
      <w:r>
        <w:br w:type="page"/>
      </w:r>
    </w:p>
    <w:p>
      <w:pPr>
        <w:pStyle w:val="Heading1"/>
      </w:pPr>
      <w:r>
        <w:t>Appendix H References and evidence register</w:t>
      </w:r>
    </w:p>
    <w:p>
      <w:pPr/>
      <w:r>
        <w:t>Locators refer to physical slide ordinals or PDF page numbers in the supplied originals; some decks print different internal numbers. Supplied source assertions are distinguished from our inference and proposals throughout. Course materials were inspected through repository conversions made 10 October 2026; draft date 11 October 2026.</w:t>
      </w:r>
    </w:p>
    <w:p>
      <w:pPr>
        <w:pStyle w:val="Heading2"/>
      </w:pPr>
      <w:r>
        <w:t>Assignment and client material</w:t>
      </w:r>
    </w:p>
    <w:p>
      <w:pPr/>
      <w:r>
        <w:t>A1. Live Client Strategic Proposal Mauli Rituals. Supplied assignment export, sections Deliverables, Required Content and Rubric. Four-page brief plus appendix; six-minute pitch and four-minute Q&amp;A; five to eight slides. Metrics 25, proposal 20, recommendation 15, diagnosis 15, exclusions 15, adherence 10 points. Source: docs/inputs/Live Client Strategic Proposal- Mauli Rituals.md.md.</w:t>
      </w:r>
    </w:p>
    <w:p>
      <w:pPr/>
      <w:r>
        <w:t>C1. Mauli Rituals Client Challenge Brief. Prepared 12 September 2026 for classroom use from founder Q&amp;A and August retailer deck. Relevant pp. 3–7 customer, channels and economics; pp. 8–10 ask and opportunities; p. 11 reconciliation. The duplicated supplied PDF counts as one source. Source: docs/inputs/Mauli Rituals - Client Challenge Brief.pdf.md.</w:t>
      </w:r>
    </w:p>
    <w:p>
      <w:pPr/>
      <w:r>
        <w:t>C2. Mauli Rituals Client Challenge Discussion. Supplied course deck, slide 14 metric criteria and slide 15 one path, one workflow, one metric. Source: docs/inputs/Mauli Rituals — Client Challenge Discussion.pptx.md.</w:t>
      </w:r>
    </w:p>
    <w:p>
      <w:pPr>
        <w:pStyle w:val="Heading2"/>
      </w:pPr>
      <w:r>
        <w:t>Lecture sources</w:t>
      </w:r>
    </w:p>
    <w:p>
      <w:pPr/>
      <w:r>
        <w:t>L1. Future of Commerce Week 1 Course Launch and Evolution of Digital Commerce. Slides 6–7 assessment/evidence; 19 continuum; 25 definitions; 26 Rogers diffusion. Source: docs/inputs/Future of Commerce — Week 1_ Course Launch &amp; Evolution of Digital Commerce.pptx.md.</w:t>
      </w:r>
    </w:p>
    <w:p>
      <w:pPr/>
      <w:r>
        <w:t>L2. Future of Commerce Week 2 Consumer Behaviour and AI Personalised Shopping. Slides 5–8 CDJ; 9–10 micro-moments; 11–14 ELM/Fogg; 27–31 maturity/recommenders; 34–36 trust and measurement; 38 attribution; 44 theory references. Source: docs/inputs/Future of Commerce — Week 2_ Consumer Behaviour &amp; AI-Personalised Shopping.pptx.md.</w:t>
      </w:r>
    </w:p>
    <w:p>
      <w:pPr/>
      <w:r>
        <w:t>L3. Senses in the AI World. Page 4 sensory loop; pp. 13–17 scent/touch limitations; pp. 22–24 context and orchestration. Source: docs/inputs/Senses_in_AI_World_Deck.pdf.md.</w:t>
      </w:r>
    </w:p>
    <w:p>
      <w:pPr/>
      <w:r>
        <w:t>L4. AEO GEO Deep Dive Future of Commerce. Slides 4 definitions; 8 stack; 14 measurement; 16 sprint; 17 audit activity. Vendor and first-party figures are not transferred into Mauli forecasts. Source: docs/inputs/AEO_GEO_DeepDive_FutureOfCommerce.pptx.md.</w:t>
      </w:r>
    </w:p>
    <w:p>
      <w:pPr/>
      <w:r>
        <w:t>L5. The Future of Commerce A Physics Lens on Marketing. Slides 4–10 analogy/probability/network; 13 balance. Source: docs/inputs/The Future of Commerce — A Physics Lens on Marketing.pptx.md.</w:t>
      </w:r>
    </w:p>
    <w:p>
      <w:pPr>
        <w:pStyle w:val="Heading2"/>
      </w:pPr>
      <w:r>
        <w:t>Repository analysis dated 10 October 2026</w:t>
      </w:r>
    </w:p>
    <w:p>
      <w:pPr/>
      <w:r>
        <w:t>R1. Three precise ICP umbrellas and linked persona hypotheses: docs/research/stp-and-icps.md. R2. Channel mix and AAARRR inventory, including dated public-page links: docs/research/channels-and-funnels.md. R3. Measurement and baseline methods: docs/metrics/measurement-plan.md and data-request-and-baseline.md. R4. Model scope and limitations: docs/finance/model-guide.md, docs/metrics/workbook-guide.md and models/foresight/README.md. R5. Active recommendation and unresolved sources: docs/brief/updated-project-brief.md and decision-assumption-ledger.md.</w:t>
      </w:r>
    </w:p>
    <w:p>
      <w:pPr/>
      <w:r>
        <w:t>This draft applies Court et al.’s CDJ, Petty and Cacioppo’s ELM, Fogg’s behaviour model and Rogers’ diffusion through their supplied lecture treatment. Original theoretical works have not been independently re-reviewed for this draft. Any external statistic retained for final submission needs original-source verification and a defined reason to include it.</w:t>
      </w:r>
    </w:p>
    <w:sectPr w:rsidR="00FC693F" w:rsidRPr="0006063C" w:rsidSect="00034616">
      <w:footerReference w:type="default" r:id="rId9"/>
      <w:pgSz w:w="11952" w:h="16848"/>
      <w:pgMar w:top="922"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Mauli Rituals coursework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Mauli Rituals commerce strategy initial draft</dc:title>
  <dc:subject>Four page coursework brief with supporting appendices</dc:subject>
  <dc:creator>Mauli Rituals student advisory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