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TECHNICAL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Agentic AI labs need more than demos. I architect tool-using workflows with orchestration layers, evaluation harnesses, and guardrails that keep autonomous agents auditable in production.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Held real-time voice delivery inside a projected INR 50-per-call ceiling - balancing Whisper inference, response latency, and mandatory human review before any scaled commit.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Prototyped a Whisper/C++ edge inference path to hold per-call compute inside the INR 50 ceiling - bounded automation before full voice-stack spend.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Expanded practical AI learning beyond club events through a guest lecture on agentic workflows and AI-assisted software development for the wider student body.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Kept the hackathon’s closing programme on schedule after confirmed external speakers withdrew by designing and delivering the replacement AI workshop at short notice.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property restaurant’s first digital consumption baseline by OCR-digitising two years of handwritten kitchen registers into SKU-level data for par levels, preparation forecasts, and stock variance checks.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Equipped restaurant staff with an auditable Excel pricing model for 191 menu items, replacing opaque judgement with transparent formulas and repeatable decision rules.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Agentic Workflow and Evaluation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Engineered an agent orchestration layer with tool routing, structured memory, retry policies, and mandatory human approval for high-risk actions.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 evaluation harness that compared task success, latency, token cost, tool reliability, and recovery across model and prompt changes.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Presentation Format Conversion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Reduced format lock-in by separating the conversion core from format adapters, creating a practical path for new import and export targets without rebuilding the desktop application.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bidirectional round-tripping among PPTX, Google Slides, and HTML inside a local-first Electron shell, preserving animation intent through an extensible plug-in layer.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Creativity; Future Proofing Challenge; Design 1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35C4A1FB-6BDE-48FE-AE48-7D6DE3EAEB74}"/>
    <w:embedBold r:id="rId2" w:fontKey="{39929047-68C6-4689-B668-99387FA5467B}"/>
    <w:embedItalic r:id="rId3" w:fontKey="{053CD152-9007-4050-85AC-F2E8DE4613E1}"/>
    <w:embedBoldItalic r:id="rId4" w:fontKey="{AF93AE58-BC5C-43DE-843C-E522D7FD46AE}"/>
  </w:font>
  <w:font w:name="Newsreader Resume Title">
    <w:embedRegular r:id="rId5" w:fontKey="{A904E434-2854-4098-A5FC-13973E4FF22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