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AI content platforms drown in unstructured sources. I build capture-to-retrieval workflows with metadata schemas, citation chains, and quality gates for knowledge products.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The Bard - Static Publishing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an article-first static publishing engine supporting Obsidian Markdown, hand-authored standalone HTML, and Pandoc-generated single-page HTML under one metadata registry with bidirectional wikilinks and backlink resolution.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Implemented garden-graph visualisation, an atomic Google Drive mirror, and a GitHub Actions deployment pipeline, turning GANET’s source material into a reproducible publishing workflow.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Personal Knowledge Management System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the working memory for 53 projects across four foundational domains, connecting daily diaries, research, source evidence, decisions, and final deliverables in one professional knowledge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 repeatable capture, store, connect, retrieve, and reuse framework so new work could build on prior learning without losing the context behind a decision.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Business Strategy; Design 1; Creativity;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43CEBB2D-D664-4C70-A913-DABF87710432}"/>
    <w:embedBold r:id="rId2" w:fontKey="{43BE48BC-D88D-4954-A864-B50CAB45776F}"/>
    <w:embedItalic r:id="rId3" w:fontKey="{776C8A05-7AFF-4A06-BFB0-4A82130FD04F}"/>
    <w:embedBoldItalic r:id="rId4" w:fontKey="{1F991A57-DBF6-4B71-AABD-7BF483F3AA24}"/>
  </w:font>
  <w:font w:name="Newsreader Resume Title">
    <w:embedRegular r:id="rId5" w:fontKey="{7900E825-BD8E-43C8-B321-876BED40182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