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BRAND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Carbon-market advisors confuse buyers with opaque diligence. I translate ESG research and offset economics into legible brand narratives for investor and corporate audiences.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Prepared a filing-ready legal addendum under counsel direction so counsel could meet a time-sensitive Indian Supreme Court deadline for a related family matter.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AstroPatshala’s repeatable operating model by defining how pricing and licensing governed packaged services, market entry, and delivery.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Paired the repositioning with guerrilla campaign concepts and a reusable creative kit designed to make specialist carbon-market expertise more legible and convert attention into qualified interest.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Carbon Forward Conference Lead-Magnet Design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Served as deputy team lead for a real-client Carbon Forward engagement, steering research and delivery toward a conference lead magnet grounded in carbon-market diligence.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Accelerated delivery by reusing validated carbon-credit and ESG research from the Redshaw engagement while rebuilding the message for Carbon Forward’s audience and lead-generation objective.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Creativity; Design Thinking in Practice; Design Thinking in Web Design; Design 1; Business Strategy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60067D06-67CE-4F94-B585-72470B04749B}"/>
    <w:embedBold r:id="rId2" w:fontKey="{D4A8C758-F54C-4481-A235-78C8A169C17D}"/>
    <w:embedItalic r:id="rId3" w:fontKey="{082F7269-382C-4778-8542-1C7B26B1559B}"/>
    <w:embedBoldItalic r:id="rId4" w:fontKey="{2789C062-4675-449B-B455-164C5551D4E6}"/>
  </w:font>
  <w:font w:name="Newsreader Resume Title">
    <w:embedRegular r:id="rId5" w:fontKey="{209DBAE2-1138-4279-8D1A-70DB7C9948D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