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BRAND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Climate-tech founders undersell resilience evidence. I connect technical narratives, sustainability proof points, and commercial positioning for credible market entry.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structured discovery with six-plus practitioners on how AI-assisted career guidance is shifting - synthesising forecasts into product and positioning choices.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the HAC x Hult Finance Hackathon with the Hult Banking Society from partner alignment and the event dossier through speaker outreach, workshops, and on-site delivery.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Samsung and Huawei Strategic Resilience Analysis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Compared Samsung and Huawei using PitchBook and company data, connecting semiconductor depth and ESG commitments to geopolitical exposure and supply-chain resilience.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risk register and opportunity map linking 3 nm manufacturing, USD 18.8 billion R&amp;D, sanctions, circularity, and domestic sourcing to future market access.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Design Thinking in Practice; Design Thinking in Web Design; Future Proofing Challenge;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D52D9CD1-C400-4DC3-AC89-DCB0A0B5F1A0}"/>
    <w:embedBold r:id="rId2" w:fontKey="{ED6E177A-A73F-4BBC-89EE-92D93062C9D1}"/>
    <w:embedItalic r:id="rId3" w:fontKey="{98B71CC3-8F32-4612-A940-B61AC9048D2F}"/>
    <w:embedBoldItalic r:id="rId4" w:fontKey="{1691580C-5742-4F09-8967-7327E6907E0D}"/>
  </w:font>
  <w:font w:name="Newsreader Resume Title">
    <w:embedRegular r:id="rId5" w:fontKey="{EED77E64-1156-4B82-8BDC-4F93B3EA038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