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EXECUTIVE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coordinate managing-director priorities, cross-property work, and confidential decision papers across founder-led ventures.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Prepared a filing-ready legal addendum under counsel direction so counsel could meet a time-sensitive Indian Supreme Court deadline for a related family matter.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site analysis, room and F&amp;B inventory checks, and operating agreements; readied meeting and banquet spaces before opening.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Converted peak demand into repeat corporate packages, alternative booking structures, and playbooks for rooms, banquets, and walk-in F&amp;B.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Real Estate Business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Real Estate Operations Associate,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a 12-property portfolio - 8 apartments and 4 hostels - from construction coordination through commercial readiness into sales and leasing.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Supported high-value residential deals through MD and partner hosting, coordinating venues, menus, and after-event relationships.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Governance and Office Access Model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single- and multi-family office access for HUF families, respecting cultural and legal constraints in investment, reporting, succession, and advice.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Developed proposals and operating routines for investment approval, related-party decisions, succession, conflicts, records, and adviser handoffs.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Taj’s service-capacity constraint across 129 properties and the 150-property scaling threshold, then built Project Bifocal around that gap.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an INR 150 crore, five-year Tajness Transmission Academy to prepare 2,000 to 2,500 staff annually and protect service consistency during expansion.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Strategic Ambiguity; Business Strategy; Design Thinking in Practice; Fundamentals of Business Analytics; Social Impact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ABFA50B8-12BC-4CAB-8563-BA1E0466AD86}"/>
    <w:embedBold r:id="rId2" w:fontKey="{EBC03506-B400-45DF-9992-807DC128F804}"/>
    <w:embedItalic r:id="rId3" w:fontKey="{30E7F55F-6C99-4FDB-8687-285A5DBB0C4F}"/>
    <w:embedBoldItalic r:id="rId4" w:fontKey="{895C0CCF-1DC0-4FBF-B707-B4DBF4062512}"/>
  </w:font>
  <w:font w:name="Newsreader Resume Title">
    <w:embedRegular r:id="rId5" w:fontKey="{7424E1F8-A2CA-4B92-AA6D-DB191E08392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