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BRAND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Boutique agencies win pitches when vision feels spatial, not generic. I shape exhibition-linked brand narratives, identity systems, and campaign direction for cultural and commercial clients.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the HAC x Hult Finance Hackathon with the Hult Banking Society from partner alignment and the event dossier through speaker outreach, workshops, and on-site delivery.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NIRMANA through 4 brief iterations, building a design-learning system around 75 gamified questions that help practitioners recover observation, practice, repetition, and discourse.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Extended the critique of design education into 7 connected formats: curriculum, essays, short film, music score, microsite, documentation, and spatial manifestation.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Creativity; Design Thinking in Web Design; Design 1;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D4885051-9D7A-48B2-B422-F391913C618A}"/>
    <w:embedBold r:id="rId2" w:fontKey="{F6AE1B72-335D-420E-87C2-F303478157DC}"/>
    <w:embedItalic r:id="rId3" w:fontKey="{A2181B23-6A30-41A7-BCD7-9DEE8183C198}"/>
    <w:embedBoldItalic r:id="rId4" w:fontKey="{07A1CED4-167F-4AC6-A69F-67CF24F26A47}"/>
  </w:font>
  <w:font w:name="Newsreader Resume Title">
    <w:embedRegular r:id="rId5" w:fontKey="{2D8F7E88-34D1-488C-932A-17F6BC08578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