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FinTech decision tools confuse users when research and product feel disconnected. I bridge financial learning gardens, audience architecture, and messaging for products people trust.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a two-way loop with BWC: GANET research and templates fed desk models and macro calls; StockTrak trade logs, performance evidence, and postmortems became worked cases in the vault.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Strategic Ambiguity;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58496542-750E-49DE-AD94-3FC9210B59C0}"/>
    <w:embedBold r:id="rId2" w:fontKey="{DE44C311-CDA3-442E-8012-EA4EE4FEBEA3}"/>
    <w:embedItalic r:id="rId3" w:fontKey="{63472AE8-F5D2-4530-BAB7-747655AA47E5}"/>
    <w:embedBoldItalic r:id="rId4" w:fontKey="{6F5D7307-2A64-464E-B67C-09D5D7AAB94D}"/>
  </w:font>
  <w:font w:name="Newsreader Resume Title">
    <w:embedRegular r:id="rId5" w:fontKey="{E540CE23-23C0-4386-BB7F-DC3C1E42C4E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