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CREATIVE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Agency clients expect interactive proofs, not slide decks. I ship native web prototypes, narrative systems, and production-ready builds that bridge creative direction and engineering.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 - no unattended counselling sessions and no automated judgment on safeguarding-sensitive calls.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Earned client commendation for the clarity and cohesion of the final strategic platform, brand direction, and campaign system.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Carbon Forward Conference Lead-Magnet Design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Served as deputy team lead for a real-client Carbon Forward engagement, steering research and delivery toward a conference lead magnet grounded in carbon-market diligence.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Accelerated delivery by reusing validated carbon-credit and ESG research from the Redshaw engagement while rebuilding the message for Carbon Forward’s audience and lead-generation objective.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Creativity; Design Thinking in Practice; Design 1; Acting 101: Voice, Body, and Character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065C0F49-F03B-4905-9F3C-AD3DE126B7AA}"/>
    <w:embedBold r:id="rId2" w:fontKey="{8784612C-F883-45B9-809E-2AEB04F8E8BF}"/>
    <w:embedItalic r:id="rId3" w:fontKey="{1B26116F-7FA0-44C3-B29C-9A15A66F397A}"/>
    <w:embedBoldItalic r:id="rId4" w:fontKey="{F3EF17BA-4174-4B8D-A70A-274AF5C92A7F}"/>
  </w:font>
  <w:font w:name="Newsreader Resume Title">
    <w:embedRegular r:id="rId5" w:fontKey="{D13577FE-44DD-42B5-BC1F-F2FFB7D436B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