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ANALYTICAL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Decision science fails when assumptions stay hidden. I ship factor, regression, and Monte Carlo diagnostics with explicit method choices that survive peer and committee review.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the property restaurant’s first digital consumption baseline by OCR-digitising two years of handwritten kitchen registers into SKU-level data for par levels, preparation forecasts, and stock variance checks.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and repriced a 191-item on-property menu through a margin-times-velocity matrix that guided placement, assortment, pruning, and print-ready composition decisions.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Increased repeat bookings by 30% within 6 months across 4 hotels by routing structured guest feedback into reception script updates, staffing changes, and amenity fixes reviewed in a weekly ops cadence.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Automated cash and shift reconciliation with a 14-sheet OpenPyXL workbook, replacing manual cross-checks with an auditable front desk control process.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BWC Quantitative Portfolio Audit Engine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reproducible Python 3.13 research stack (uv, PEP 517) implementing Fama-French three-factor OLS, Black-Litterman allocation, and Kelly sizing from explicit assumptions rather than packaged screener defaults.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Stress-tested the BWC book with 10,000 Monte Carlo paths and Cornish-Fisher VaR (5% VaR -2.56%, Sortino 3.49, Calmar 6.34, Jensen alpha 0.686), keeping simulation firewalled from live execution.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London Airbnb Pricing and Regression Models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May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Led as primary developer and designer, owning the analytical workflow from data preparation and log-linear model design through interpretation and presentation.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Estimated a log-linear pricing model on 6,319 London Airbnb listings and 13 variables, explaining 50% of price variance and placing 73% of predictions within one price band.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Fundamentals of Business Analytics; Acting 101: Voice, Body, and Character; Strategic Ambiguity; Corporate Entrepreneurship; Design Thinking in Practice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89B928AD-978C-4F05-91DF-F4A4DD996225}"/>
    <w:embedBold r:id="rId2" w:fontKey="{09897950-24EC-4C29-A14F-69CB2D4764DF}"/>
    <w:embedItalic r:id="rId3" w:fontKey="{8E7B07D4-05CC-49FA-A89C-26AC07F90B52}"/>
    <w:embedBoldItalic r:id="rId4" w:fontKey="{222B8D69-C8D4-4E93-9D3A-BF9D4D6792F1}"/>
  </w:font>
  <w:font w:name="Newsreader Resume Title">
    <w:embedRegular r:id="rId5" w:fontKey="{EDE82725-EBD8-44C9-90CF-62FFA28FB4F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