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ANALYTICAL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Development agencies need climate-economy evidence in grant-ready form. I visualise country-year datasets, hypothesis tests, and intervention maps for donor and ministry audiences.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stakeholder interviews into two decision-ready deliverables: a post-discovery market report and a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the venture from discovery to launch readiness in two months by shipping three assets: an MVP website, information architecture, and implementation roadmap.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maintained two production codebases governing customer acquisition, education delivery, research publishing, and internal operations - with deployment cadence tied to licensing releases.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AstroPatshala research publishing and course licensing as repeatable GTM assets - pricing tiers, channel partners, and delivery packaging aligned to the operating model.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Global Development and Climate Hypothesis Testing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May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Merged GDP, emissions, and net-zero datasets into 10,199 country-year observations, then built a stratified 1,800-record sample spanning 191 countries.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Tested 2 policy hypotheses with correlation, ANOVA, and chi-square methods, finding significant GDP associations with emissions and legal climate commitments at p &lt; 0.001.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Earned client commendation for the clarity and cohesion of the final strategic platform, brand direction, and campaign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Paired the repositioning with guerrilla campaign concepts and a reusable creative kit designed to make specialist carbon-market expertise more legible and convert attention into qualified interest.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Fundamentals of Business Analytics; Acting 101: Voice, Body, and Character; Design Thinking in Web Design; Design 1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6F3E2342-834D-455E-BC47-3DC33253E7AD}"/>
    <w:embedBold r:id="rId2" w:fontKey="{C44E0379-68D1-467E-8520-EEFC452D14A5}"/>
    <w:embedItalic r:id="rId3" w:fontKey="{9D1473B6-F0F5-42F2-BC63-2378456D996B}"/>
    <w:embedBoldItalic r:id="rId4" w:fontKey="{C6E96725-664A-43DE-9F7D-BA04DBE4A7E8}"/>
  </w:font>
  <w:font w:name="Newsreader Resume Title">
    <w:embedRegular r:id="rId5" w:fontKey="{84985D9B-70DB-4749-B7B6-1E3F1B584F5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