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ANALYTICAL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Macro briefs die in spreadsheets. I turn time-series, factor outputs, and GANET charting into short visual narratives investors and policymakers can read without reopening the workbook.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Margadarshaka’s pre-scale GTM as gated experiments - demand tests, counsellor capacity checks, and unit-economics checkpoints before marketing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early cap-table scenarios and angel-outreach materials while mapping investor fit against counselling-liability and payer-user alignment risks.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GANET as a personal finance vault and public digital garden: reusable models and templates, papers, study notes, opinionated guides, and beginner roadmaps.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ingest-validate-attribute-chart flow with reusable Plotly loops for desk-versus-overlay comparisons and three-dimensional implied-volatility surfaces.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BWC Quantitative Portfolio Audit Engine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Reduced end-of-day market and macro analysis to sub-second pivots by normalising Polygon, yfinance, Alpaca, and FRED feeds into DuckDB with Polars and reusable regime labels.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Stress-tested the BWC book with 10,000 Monte Carlo paths and Cornish-Fisher VaR (5% VaR -2.56%, Sortino 3.49, Calmar 6.34, Jensen alpha 0.686), keeping simulation firewalled from live execution.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Acting 101: Voice, Body, and Character; Design Thinking in Practice; Fundamentals of Business Analytics; Creativity; Design Thinking in Web Design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DE97DF26-FA89-432E-A36B-1578D63943FA}"/>
    <w:embedBold r:id="rId2" w:fontKey="{14A17DC3-DEE4-4CEC-A2E8-6858CF020D64}"/>
    <w:embedItalic r:id="rId3" w:fontKey="{D758A081-8104-4D5D-ADF5-32211309F094}"/>
    <w:embedBoldItalic r:id="rId4" w:fontKey="{99360129-D5BD-4B98-8BA9-BCC8DB4C40D9}"/>
  </w:font>
  <w:font w:name="Newsreader Resume Title">
    <w:embedRegular r:id="rId5" w:fontKey="{DF4ED736-01E4-47DB-8A6D-B4947F9440B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