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ANALYTICAL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Think tanks lose impact when evidence stays opaque. I build scenario visuals, regulatory timelines, and comparative dashboards that make policy trade-offs explicit for briefing rooms.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a room-by-room property rundown, inventory and quality verification, tenancy review, risk logging, stakeholder coordination, and documented handover to the incoming operating team.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and repriced a 191-item on-property menu through a margin-times-velocity matrix that guided placement, assortment, pruning, and print-ready composition decisions.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Samsung and Huawei Strategic Resilience Analysis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Compared Samsung and Huawei using PitchBook and company data, connecting semiconductor depth and ESG commitments to geopolitical exposure and supply-chain resilience.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risk register and opportunity map linking 3 nm manufacturing, USD 18.8 billion R&amp;D, sanctions, circularity, and domestic sourcing to future market access.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Acting 101: Voice, Body, and Character; Fundamentals of Business Analytics; Design Thinking in Web Design;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89D26671-BCDE-4DA2-8E7B-DACA6BF2A196}"/>
    <w:embedBold r:id="rId2" w:fontKey="{CA814E48-447E-4A1F-B8CF-11340789A52A}"/>
    <w:embedItalic r:id="rId3" w:fontKey="{D218EE08-9BBD-4BEF-B033-7BA1C0211A27}"/>
    <w:embedBoldItalic r:id="rId4" w:fontKey="{3B1D6242-2F91-49BE-9B3F-E3AF94D88269}"/>
  </w:font>
  <w:font w:name="Newsreader Resume Title">
    <w:embedRegular r:id="rId5" w:fontKey="{1B15C88B-87E4-4322-9DC5-D236DAA07C0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