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GROWTH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Open-source foundations grow through contributor trust, not marketing blasts. I run maintainer programmes, documentation sprints, and governance rituals that sustain active communities.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Made HAC’s work reusable and publicly legible through kartavya.tech/HAC, centralising event records, technical resources, and treasury infrastructure in one operating hub.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Took Hult’s student AI organisation from operating concept to public launch by building its programming calendar, outreach cadence, event delivery, treasury controls, and technical infrastructure.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Margadarshaka’s pre-scale GTM as gated experiments - demand tests, counsellor capacity checks, and unit-economics checkpoints before marketing spend.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Drafted early cap-table scenarios and angel-outreach materials while mapping investor fit against counselling-liability and payer-user alignment risks.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and maintained two production codebases governing customer acquisition, education delivery, research publishing, and internal operations - with deployment cadence tied to licensing releases.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Structured AstroPatshala research publishing and course licensing as repeatable GTM assets - pricing tiers, channel partners, and delivery packaging aligned to the operating model.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Personal Brand and Digital Presence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2020–Present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Unified positioning across LinkedIn, Instagram, and kartavya.tech through a shared visual identity, headline, and content architecture.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the owned website into the source of truth for projects and long-form evidence, giving shorter social profiles a consistent path back to substantive work.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GANET - Finance Digital Garden and Learning Collective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GANET as a personal finance vault and public digital garden: reusable models and templates, papers, study notes, opinionated guides, and beginner roadmaps.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Published a frozen static snapshot with zero runtime data dependencies and MkDocs provenance docs so templates and models stayed auditable beyond a single assignment.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Social Impact Challenge; Start-up Challenge; Creativity; Acting 101: Voice, Body, and Character; Design Thinking in Practice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6E6EF6F9-E6F9-41F9-92BC-18C439E89467}"/>
    <w:embedBold r:id="rId2" w:fontKey="{473725A8-71FB-4B1C-AAEB-C8A0D368DCB9}"/>
    <w:embedItalic r:id="rId3" w:fontKey="{09F30AB7-59A1-4AC6-B7C4-DEABC7081E89}"/>
    <w:embedBoldItalic r:id="rId4" w:fontKey="{A09F60DD-CFAB-4829-B731-A5E2C487B2F6}"/>
  </w:font>
  <w:font w:name="Newsreader Resume Title">
    <w:embedRegular r:id="rId5" w:fontKey="{A43FC9B6-7C98-44D2-8EAB-B6555AA72DB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