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GROWTH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build demos, integration guides, and product feedback loops that help engineers adopt developer tools.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Launched Hult’s student AI organisation, building its programme calendar, outreach, events, treasury controls, and technical infrastructure.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Taught agentic workflows and AI-assisted software development in a guest lecture for Hult’s wider student body.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Required human review after every AI-handled call; prohibited unattended counselling and automated safeguarding judgments.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Tested demand, delivery economics, and human-review cost before authorising each build tranche.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Siya The Restaurant, SRBS Group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2025–Jan 2026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Menu Engineering Consultant, Jaipur, India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OCR-digitised two years of kitchen registers into SKU data for par levels, preparation forecasts, and stock-variance checks.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 auditable Excel pricing model for 191 menu items, giving staff transparent formulas and repeatable decision rules.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Software Engineering and Systems Projects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2014–Present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CRM, ecommerce, revenue-management, and library systems with Flask, Django, and FastAPI, from data models and APIs through deployment.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Restored and deployed infrastructure for individual users, school events, and institutions through low-level diagnostics.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The Bard - Static Publishing Engine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2026–Dec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static publishing engine for Obsidian Markdown and standalone or Pandoc HTML, with a shared registry, wikilinks, and backlinks.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Jinja2 templates around a Readest-derived reader with typography themes, focus mode, progress tracking, and portable static output.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Acting 101: Voice, Body, and Character; Start-up Challenge; Social Impact Challenge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C9F04B66-290B-47B3-B421-7C0BFFE4CB10}"/>
    <w:embedBold r:id="rId2" w:fontKey="{9D8937C0-48F4-408F-AF05-252A93F27868}"/>
    <w:embedItalic r:id="rId3" w:fontKey="{79C0411E-15BA-494F-B38A-214550AC076C}"/>
    <w:embedBoldItalic r:id="rId4" w:fontKey="{DBFF1F81-8296-4F8C-9156-6AA0C801FBD3}"/>
  </w:font>
  <w:font w:name="Newsreader Resume Title">
    <w:embedRegular r:id="rId5" w:fontKey="{BAD624D1-D523-47BD-9A1E-B070843F7F8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