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PROGRAMS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I produce conferences, hackathons, and lead-generation programmes for finance and law firms, with attention to brand and compliance.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Founder and President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Hult AI Collective, 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Produced the HAC x Hult Finance Hackathon with Hult Banking Society, coordinating partners, speakers, workshops, and on-site delivery.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Prioritised sponsors through partner-fit research and tailored outreach and follow-up for HAC events.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Savi Hotels &amp; Resorts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Operational Lead,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Supported four repeat corporate events for decade-long clients through on-site leadership, remote oversight, buffet QA, and live service recovery.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Hosted pre- and post-meeting dinners for corporate and venture clients, coordinating kitchen timing and event-space ambience.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Family Real Estate Business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Real Estate Operations Associate,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Closed leases and sales through pricing, viewings, negotiation, and handover: GBP 800 to GBP 3,800 monthly rents and GBP 70,000 to GBP 90,000 penthouses.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Supported high-value residential deals through MD and partner hosting, coordinating venues, menus, and after-event relationships.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Carbon Forward Conference Lead-Magnet Design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2024–May 2025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Pro Bono Advisor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Deputy-led a real-client Carbon Forward project, directing research and delivery of a carbon-market conference lead magnet.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Adapted validated Redshaw carbon-credit and ESG research into Carbon Forward audience messaging and lead-generation material.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Redshaw Advisors Brand Strategy and Campaign Kit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2024–May 2025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Pro Bono Advisor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Turned carbon-credit diligence and ESG research into Redshaw Advisors’ positioning, audience architecture, and campaign system.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Created guerrilla campaign concepts and a reusable creative kit to explain carbon-market expertise and attract qualified interest.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Creativity; Corporate Entrepreneurship; Design Thinking in Practice; Design Thinking in Web Design; Business Strategy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7F6BA882-40AD-4C71-A94B-AE57C76143F5}"/>
    <w:embedBold r:id="rId2" w:fontKey="{805BEAD1-7F6A-4BA2-BDE8-FE703647281E}"/>
    <w:embedItalic r:id="rId3" w:fontKey="{F533331A-289B-43CD-B615-5C13CA268000}"/>
    <w:embedBoldItalic r:id="rId4" w:fontKey="{DC7B241C-E3D9-4C5D-9802-4AD757764855}"/>
  </w:font>
  <w:font w:name="Newsreader Resume Title">
    <w:embedRegular r:id="rId5" w:fontKey="{6376657A-BFAA-4CDA-9336-E73D9EC78820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