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PROGRAMS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produce tech events from concept to stage, aligning sponsors, community programming, and follow-through.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the HAC x Hult Finance Hackathon with Hult Banking Society, coordinating partners, speakers, workshops, and on-site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Launched Hult’s student AI organisation, building its programme calendar, outreach, events, treasury controls, and technical infrastructure.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Carbon Forward Conference Lead-Magnet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Deputy-led a real-client Carbon Forward project, directing research and delivery of a carbon-market conference lead magnet.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Adapted validated Redshaw carbon-credit and ESG research into Carbon Forward audience messaging and lead-generation material.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Culinary Operations Rotation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knife work, sauce bases, and timed batches against live service windows while maintaining FIFO, allergen, and temperature controls.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saucier control from production through handover, protecting reduction timing, multi-sauce consistency, holding temperature, and close-down hygiene.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Future Proofing Challenge; Design Thinking in Web Design; Acting 101: Voice, Body, and Character; Strategic Ambiguity; Business Strategy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316A0D20-68CB-4F38-817A-9BBDAAC478B8}"/>
    <w:embedBold r:id="rId2" w:fontKey="{512F96A4-4F37-422A-983D-39A4A698F825}"/>
    <w:embedItalic r:id="rId3" w:fontKey="{DBD2EB9A-4DAC-452B-8847-50750340A1FE}"/>
    <w:embedBoldItalic r:id="rId4" w:fontKey="{D881FFA7-C615-4580-A506-37CFC38E1C24}"/>
  </w:font>
  <w:font w:name="Newsreader Resume Title">
    <w:embedRegular r:id="rId5" w:fontKey="{1CB790C6-84AB-4FAB-BF07-A8ADCC50737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