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SPATIAL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Museum curators need spatial narratives, not flat didactics. I translate archival research into material choices, circulation logic, and interpretive environments visitors remember.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Kept the hackathon’s closing programme on schedule after confirmed external speakers withdrew by designing and delivering the replacement AI workshop at short notice.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 delivery in two-week Scrum cadences - backlog grooming, design handoffs, and Kanban visibility across engineering and counselling stakeholders.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post-call transcripts into structured case dossiers and counsellor dashboards - linking entities, session history, and follow-up tasks in one view.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NIRMANA Design Capstone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Created NIRMANA through 4 brief iterations, building a design-learning system around 75 gamified questions that help practitioners recover observation, practice, repetition, and discourse.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2 companion interfaces - a public microsite and a Snaptrude spatial prototype - connecting the digital card system to its proposed physical exhibition environment.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a 5-person team in designing OULM across 3 service areas - Bedfordshire, Hertfordshire, and Luton - moving young people from digital discovery and booking into Welcome Areas and the Woodland Cafe.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Connected online pathways to 2 physical destinations - Welcome Areas and the Woodland Cafe - so discovery, safeguarding, and community participation resolve in real places.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Design 1; Creativity; Acting 101: Voice, Body, and Character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A5EC2F3E-A85B-4B08-8E64-598A705C2ED6}"/>
    <w:embedBold r:id="rId2" w:fontKey="{1A58642D-602A-4C30-AD69-60924C74905E}"/>
    <w:embedItalic r:id="rId3" w:fontKey="{F52C6083-B51A-4550-A502-C9F4700B02C7}"/>
    <w:embedBoldItalic r:id="rId4" w:fontKey="{09244128-B287-48E0-BA39-EDBAD5CCD2D6}"/>
  </w:font>
  <w:font w:name="Newsreader Resume Title">
    <w:embedRegular r:id="rId5" w:fontKey="{FF2A6CBF-B74F-43F3-BB02-B52BC4C1C05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