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SPATIAL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Retail flagships fail when digital and floor staff tell different stories. I design service touchpoints, spatial flows, and phygital moments that align brand promise with guest behaviour.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the property through the first operating weeks after handover - front desk, staffing, rooms product, and event-space readiness - while designing mobile-first workflows so paper completion did not become an empty building.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Increased repeat bookings by 30% within 6 months across 4 hotels by routing structured guest feedback into reception script updates, staffing changes, and amenity fixes reviewed in a weekly ops cadence.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property restaurant’s first digital consumption baseline by OCR-digitising two years of handwritten kitchen registers into SKU-level data for par levels, preparation forecasts, and stock variance checks.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and repriced a 191-item on-property menu through a margin-times-velocity matrix that guided placement, assortment, pruning, and print-ready composition decisions.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Shifted the growth model away from daily active users toward offline belonging - building accountability architecture with intentional verification friction for under-16 access.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six connected outputs - technical MVP, identity, design tokens, skeleton states, posters, and venue touchpoints - as a safeguarding-aware service ecosystem with legible handoffs.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NIRMANA Design Capstone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Extended the critique of design education into 7 connected formats: curriculum, essays, short film, music score, microsite, documentation, and spatial manifestation.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2 companion interfaces - a public microsite and a Snaptrude spatial prototype - connecting the digital card system to its proposed physical exhibition environment.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Creativity; Design 1; Acting 101: Voice, Body, and Character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F974CE9E-4B27-4EF2-B079-99BE215CD045}"/>
    <w:embedBold r:id="rId2" w:fontKey="{5F353F1A-83F5-4C62-B971-0FDD864F845A}"/>
    <w:embedItalic r:id="rId3" w:fontKey="{809B8006-C8F0-4D2D-84A0-F8D272716BD6}"/>
    <w:embedBoldItalic r:id="rId4" w:fontKey="{9F173D55-03F3-44A7-85E7-7363A0A139E3}"/>
  </w:font>
  <w:font w:name="Newsreader Resume Title">
    <w:embedRegular r:id="rId5" w:fontKey="{833200D8-8959-483F-B1DA-C1D3EFF6B3C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