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FAMILY OFFICE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combine governance design, reusable financial models, and diligence narratives for family-enterprise portfolios.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and helped execute an approximately GBP 40,000 Shimla hotel lease, assessing markets, books, asset quality, downside,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seven-part diligence framework covering market, operator, asset, legal, commercial, valuation, and execution risks.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Family Real Estate Business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Real Estate Operations Associate,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a 12-property portfolio - 8 apartments and 4 hostels - from construction coordination through commercial readiness into sales and leasing.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Closed leases and sales through pricing, viewings, negotiation, and handover: GBP 800 to GBP 3,800 monthly rents and GBP 70,000 to GBP 90,000 penthouses.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Grew from four weekly room-nights to five sell-out days in a peak week, aided by market timing, corporate MICE banquets, and walk-in lunches.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Converted peak demand into repeat corporate packages, alternative booking structures, and playbooks for rooms, banquets, and walk-in F&amp;B.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Family Governance and Office Access Model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Modelled single- and multi-family office access for HUF families, respecting cultural and legal constraints in investment, reporting, succession, and advice.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Unbundled governance, reporting, diligence, succession, and specialist advice into family-office modules for Tier 2 and Tier 3 cities.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GANET as a personal finance vault and public digital garden: reusable models and templates, papers, study notes, opinionated guides, and beginner roadmaps.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a two-way loop with BWC: GANET research and templates fed desk models and macro calls; StockTrak trade logs, performance evidence, and postmortems became worked cases in the vault.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Creativity; Design 1; Future Proofing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772CB1ED-ADA8-45A4-B98C-8B3AB5447221}"/>
    <w:embedBold r:id="rId2" w:fontKey="{2C0B447F-9397-4F7A-A57A-859856E458C2}"/>
    <w:embedItalic r:id="rId3" w:fontKey="{98949FA9-D3BF-47FA-9060-90C0AFB75F39}"/>
    <w:embedBoldItalic r:id="rId4" w:fontKey="{AF413E81-8883-4031-A93A-FFD165511B65}"/>
  </w:font>
  <w:font w:name="Newsreader Resume Title">
    <w:embedRegular r:id="rId5" w:fontKey="{268154F7-093C-4382-B808-9203155BCAC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