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TECHNICAL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Enterprise AI buyers stall when pilots never reach production. I embed with operational teams, scope integration constraints, and ship working automations that survive compliance review.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Held real-time voice delivery inside a projected INR 50-per-call ceiling - balancing Whisper inference, response latency, and mandatory human review before any scaled commit.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US Defence Drone Spinout Commercialisation Assessment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Assessed a US academic drone spinout using KTH Innovation-style venture-readiness criteria, testing technical feasibility, commercial potential, company formation, and execution risk.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a gated commercialisation path from technical validation and founder agreements through defence-market entry, financing readiness, and the next spinout decision.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Hospitality and Venture Operations Automation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Wrote weekly revenue ingestion scripts feeding the Excel and Power BI reporting layer that paired with front-desk reconciliation controls.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Sketched REST integrations between ERP, POS, and PMS systems to reduce manual re-keying across property operations.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Acting 101: Voice, Body, and Character; Strategic Ambiguity;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CA2C3FA6-FA8B-4EEA-A7FE-4C258FA63B36}"/>
    <w:embedBold r:id="rId2" w:fontKey="{B55B2453-311F-4510-A1D4-C055CB1B9F00}"/>
    <w:embedItalic r:id="rId3" w:fontKey="{72326E09-E6FE-4DC3-8255-1F07C58B6364}"/>
    <w:embedBoldItalic r:id="rId4" w:fontKey="{4D7DD52F-88D5-4A9F-A2E0-30A6BC6BA34A}"/>
  </w:font>
  <w:font w:name="Newsreader Resume Title">
    <w:embedRegular r:id="rId5" w:fontKey="{453D3638-0051-46FC-85AA-E73405585FE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