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support healthcare founders with London incubator navigation, MVP-to-GTM planning, stakeholder coordination, and platform diligence.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Packaged research publishing and course licensing for GTM through pricing tiers, channel partners, and delivery formats.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OULM design team across Bedfordshire, Hertfordshire, and Luton, linking digital discovery and booking to community venues.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MVP, identity, tokens, skeleton states, posters, and venue touchpoints with safeguarding-aware service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 Brand Naming and Voice System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Developed the AstroPatshala name through a Double Diamond and rhizomatic naming process, using a Chaldean numerology engine and pan-Asian phonetic constraints to evaluate candidates.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AstroPatshala brand strategy, voice, and brandbook in parallel with the venture operating model, pricing system, and delivery architecture.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Building Next-Generation Startups; Design Thinking in Web Design; Social Impact Challenge;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B2DA1337-3934-45C7-94B2-4DF338E8F462}"/>
    <w:embedBold r:id="rId2" w:fontKey="{D1D6D403-106E-4C04-8400-2BA55206AC0A}"/>
    <w:embedItalic r:id="rId3" w:fontKey="{5C62CA1D-8C57-46E2-90F2-E7B644C495DE}"/>
    <w:embedBoldItalic r:id="rId4" w:fontKey="{EDFD95D9-BBF2-4F27-AC72-81AFFF45D2CC}"/>
  </w:font>
  <w:font w:name="Newsreader Resume Title">
    <w:embedRegular r:id="rId5" w:fontKey="{36C40AE7-0F95-4E10-981D-00F859F04CF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