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GROWTH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Accelerator founders confuse activity with pipeline. I combine customer research, funnel analytics, and market mapping into GTM recommendations with measurable conversion targets.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Translated stakeholder interviews into two decision-ready deliverables: a post-discovery market report and a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Moved the venture from discovery to launch readiness in two months by shipping three assets: an MVP website, information architecture, and implementation roadmap.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 AARRR Growth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the AARRR funnel across AstroPatshala’s consulting, education, and research offers, linking acquisition, activation, retention, referral, and revenue to concrete operating choices.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the funnel into an operating roadmap spanning channel tests, onboarding, repeat-service triggers, referral loops, and pricing actions.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Redshaw Advisors Brand Strategy and Campaign Kit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Pro Bono Advisor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Redesigned Redshaw Advisors’ positioning by turning carbon-credit diligence and ESG research into a legible brand proposition, audience architecture, and campaign system.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Paired the repositioning with guerrilla campaign concepts and a reusable creative kit designed to make specialist carbon-market expertise more legible and convert attention into qualified interest.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Start-up Challenge; Creativity; Building Next-Generation Startups; Design Thinking in Web Design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6DF20F3-A838-4F38-8E53-F950CB8CB989}"/>
    <w:embedBold r:id="rId2" w:fontKey="{C52862B8-6164-4506-82D0-33A408787794}"/>
    <w:embedItalic r:id="rId3" w:fontKey="{A93B7E4E-5D1C-4B76-B395-59843F991B8E}"/>
    <w:embedBoldItalic r:id="rId4" w:fontKey="{793834FA-9F77-4BB2-996F-6BC48BD239EC}"/>
  </w:font>
  <w:font w:name="Newsreader Resume Title">
    <w:embedRegular r:id="rId5" w:fontKey="{18A5BD00-234B-4354-B82E-626EDF1C2A1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